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249D" w:rsidRPr="00190BFF" w:rsidRDefault="0058249D" w:rsidP="0058249D">
      <w:pPr>
        <w:pStyle w:val="Footer"/>
        <w:jc w:val="both"/>
        <w:rPr>
          <w:rFonts w:ascii="Times New Roman" w:hAnsi="Times New Roman"/>
          <w:i w:val="0"/>
          <w:sz w:val="24"/>
          <w:lang w:val="en-US" w:eastAsia="ja-JP"/>
        </w:rPr>
      </w:pPr>
      <w:r w:rsidRPr="00190BFF">
        <w:rPr>
          <w:rFonts w:ascii="Times New Roman" w:hAnsi="Times New Roman"/>
          <w:bCs/>
          <w:i w:val="0"/>
          <w:sz w:val="24"/>
          <w:lang w:val="en-US" w:eastAsia="ja-JP"/>
        </w:rPr>
        <w:t>3GPP TSG-RAN WG4 Meeting #77</w:t>
      </w:r>
      <w:r w:rsidRPr="00190BFF">
        <w:rPr>
          <w:rFonts w:ascii="Times New Roman" w:hAnsi="Times New Roman"/>
          <w:bCs/>
          <w:i w:val="0"/>
          <w:sz w:val="24"/>
          <w:lang w:val="en-US" w:eastAsia="ja-JP"/>
        </w:rPr>
        <w:tab/>
      </w:r>
      <w:r w:rsidRPr="00190BFF">
        <w:rPr>
          <w:rFonts w:ascii="Times New Roman" w:hAnsi="Times New Roman"/>
          <w:bCs/>
          <w:i w:val="0"/>
          <w:sz w:val="24"/>
          <w:lang w:val="en-US" w:eastAsia="ja-JP"/>
        </w:rPr>
        <w:tab/>
      </w:r>
      <w:r w:rsidRPr="00190BFF">
        <w:rPr>
          <w:rFonts w:ascii="Times New Roman" w:hAnsi="Times New Roman"/>
          <w:bCs/>
          <w:i w:val="0"/>
          <w:sz w:val="24"/>
          <w:lang w:val="en-US" w:eastAsia="ja-JP"/>
        </w:rPr>
        <w:tab/>
      </w:r>
      <w:r w:rsidRPr="00190BFF">
        <w:rPr>
          <w:rFonts w:ascii="Times New Roman" w:hAnsi="Times New Roman"/>
          <w:bCs/>
          <w:i w:val="0"/>
          <w:sz w:val="24"/>
          <w:lang w:val="en-US" w:eastAsia="ja-JP"/>
        </w:rPr>
        <w:tab/>
      </w:r>
      <w:r w:rsidRPr="00190BFF">
        <w:rPr>
          <w:rFonts w:ascii="Times New Roman" w:hAnsi="Times New Roman"/>
          <w:bCs/>
          <w:i w:val="0"/>
          <w:sz w:val="24"/>
          <w:lang w:val="en-US" w:eastAsia="ja-JP"/>
        </w:rPr>
        <w:tab/>
        <w:t xml:space="preserve">             </w:t>
      </w:r>
      <w:r w:rsidR="00B50959" w:rsidRPr="00190BFF">
        <w:rPr>
          <w:rFonts w:ascii="Times New Roman" w:hAnsi="Times New Roman"/>
          <w:bCs/>
          <w:i w:val="0"/>
          <w:sz w:val="24"/>
          <w:lang w:val="en-US" w:eastAsia="ja-JP"/>
        </w:rPr>
        <w:t>R4-15</w:t>
      </w:r>
      <w:r w:rsidR="00190BFF" w:rsidRPr="00190BFF">
        <w:rPr>
          <w:rFonts w:ascii="Times New Roman" w:hAnsi="Times New Roman"/>
          <w:bCs/>
          <w:i w:val="0"/>
          <w:sz w:val="24"/>
          <w:lang w:val="en-US" w:eastAsia="ja-JP"/>
        </w:rPr>
        <w:t>7003</w:t>
      </w:r>
    </w:p>
    <w:p w:rsidR="0058249D" w:rsidRPr="00190BFF" w:rsidRDefault="0058249D" w:rsidP="0058249D">
      <w:pPr>
        <w:pStyle w:val="Footer"/>
        <w:jc w:val="both"/>
        <w:rPr>
          <w:rFonts w:ascii="Times New Roman" w:hAnsi="Times New Roman"/>
          <w:i w:val="0"/>
          <w:sz w:val="24"/>
          <w:lang w:val="en-US" w:eastAsia="ja-JP"/>
        </w:rPr>
      </w:pPr>
      <w:r w:rsidRPr="00190BFF">
        <w:rPr>
          <w:rFonts w:ascii="Times New Roman" w:hAnsi="Times New Roman"/>
          <w:bCs/>
          <w:i w:val="0"/>
          <w:sz w:val="24"/>
          <w:lang w:eastAsia="ja-JP"/>
        </w:rPr>
        <w:t>Anaheim, US, 16th – 20th Nov 2015</w:t>
      </w:r>
    </w:p>
    <w:p w:rsidR="007F4A7C" w:rsidRPr="00190BFF" w:rsidRDefault="007F4A7C" w:rsidP="007F4A7C">
      <w:pPr>
        <w:tabs>
          <w:tab w:val="left" w:pos="1985"/>
        </w:tabs>
        <w:spacing w:before="240"/>
        <w:rPr>
          <w:rFonts w:ascii="Times New Roman" w:hAnsi="Times New Roman"/>
          <w:bCs/>
          <w:sz w:val="22"/>
          <w:lang w:val="sv-SE"/>
        </w:rPr>
      </w:pPr>
      <w:r w:rsidRPr="00190BFF">
        <w:rPr>
          <w:rFonts w:ascii="Times New Roman" w:hAnsi="Times New Roman"/>
          <w:b/>
          <w:sz w:val="22"/>
          <w:lang w:val="sv-SE"/>
        </w:rPr>
        <w:t>Agenda Item:</w:t>
      </w:r>
      <w:r w:rsidRPr="00190BFF">
        <w:rPr>
          <w:rFonts w:ascii="Times New Roman" w:hAnsi="Times New Roman"/>
          <w:sz w:val="22"/>
          <w:lang w:val="sv-SE"/>
        </w:rPr>
        <w:tab/>
      </w:r>
      <w:r w:rsidR="00513D73" w:rsidRPr="00190BFF">
        <w:rPr>
          <w:rFonts w:ascii="Times New Roman" w:hAnsi="Times New Roman"/>
          <w:bCs/>
          <w:sz w:val="22"/>
          <w:lang w:val="sv-SE"/>
        </w:rPr>
        <w:t>7.</w:t>
      </w:r>
      <w:r w:rsidR="00190BFF" w:rsidRPr="00190BFF">
        <w:rPr>
          <w:rFonts w:ascii="Times New Roman" w:hAnsi="Times New Roman"/>
          <w:bCs/>
          <w:sz w:val="22"/>
          <w:lang w:val="sv-SE"/>
        </w:rPr>
        <w:t>4</w:t>
      </w:r>
      <w:r w:rsidR="00513D73" w:rsidRPr="00190BFF">
        <w:rPr>
          <w:rFonts w:ascii="Times New Roman" w:hAnsi="Times New Roman"/>
          <w:bCs/>
          <w:sz w:val="22"/>
          <w:lang w:val="sv-SE"/>
        </w:rPr>
        <w:t>8.</w:t>
      </w:r>
      <w:r w:rsidR="00190BFF" w:rsidRPr="00190BFF">
        <w:rPr>
          <w:rFonts w:ascii="Times New Roman" w:hAnsi="Times New Roman"/>
          <w:bCs/>
          <w:sz w:val="22"/>
          <w:lang w:val="sv-SE"/>
        </w:rPr>
        <w:t>1</w:t>
      </w:r>
    </w:p>
    <w:p w:rsidR="007F4A7C" w:rsidRPr="00190BFF" w:rsidRDefault="007F4A7C" w:rsidP="007F4A7C">
      <w:pPr>
        <w:tabs>
          <w:tab w:val="left" w:pos="1985"/>
        </w:tabs>
        <w:ind w:left="1980" w:hanging="1980"/>
        <w:rPr>
          <w:rFonts w:ascii="Times New Roman" w:hAnsi="Times New Roman"/>
          <w:bCs/>
          <w:sz w:val="22"/>
        </w:rPr>
      </w:pPr>
      <w:r w:rsidRPr="00190BFF">
        <w:rPr>
          <w:rFonts w:ascii="Times New Roman" w:hAnsi="Times New Roman"/>
          <w:b/>
          <w:sz w:val="22"/>
        </w:rPr>
        <w:t xml:space="preserve">Source: </w:t>
      </w:r>
      <w:r w:rsidRPr="00190BFF">
        <w:rPr>
          <w:rFonts w:ascii="Times New Roman" w:hAnsi="Times New Roman"/>
          <w:b/>
          <w:sz w:val="22"/>
        </w:rPr>
        <w:tab/>
      </w:r>
      <w:r w:rsidR="00190BFF" w:rsidRPr="00190BFF">
        <w:rPr>
          <w:rFonts w:ascii="Times New Roman" w:hAnsi="Times New Roman"/>
          <w:bCs/>
          <w:sz w:val="22"/>
        </w:rPr>
        <w:t>Intel Corporation</w:t>
      </w:r>
    </w:p>
    <w:p w:rsidR="007F4A7C" w:rsidRPr="00190BFF" w:rsidRDefault="007F4A7C" w:rsidP="007F4A7C">
      <w:pPr>
        <w:tabs>
          <w:tab w:val="left" w:pos="1985"/>
        </w:tabs>
        <w:ind w:left="1988" w:hanging="1980"/>
        <w:rPr>
          <w:rFonts w:ascii="Times New Roman" w:hAnsi="Times New Roman"/>
          <w:bCs/>
          <w:sz w:val="22"/>
        </w:rPr>
      </w:pPr>
      <w:r w:rsidRPr="00190BFF">
        <w:rPr>
          <w:rFonts w:ascii="Times New Roman" w:hAnsi="Times New Roman"/>
          <w:b/>
          <w:sz w:val="22"/>
        </w:rPr>
        <w:t>Title:</w:t>
      </w:r>
      <w:r w:rsidRPr="00190BFF">
        <w:rPr>
          <w:rFonts w:ascii="Times New Roman" w:hAnsi="Times New Roman"/>
          <w:sz w:val="22"/>
        </w:rPr>
        <w:t xml:space="preserve"> </w:t>
      </w:r>
      <w:r w:rsidRPr="00190BFF">
        <w:rPr>
          <w:rFonts w:ascii="Times New Roman" w:hAnsi="Times New Roman"/>
          <w:sz w:val="22"/>
        </w:rPr>
        <w:tab/>
      </w:r>
      <w:r w:rsidR="00190BFF" w:rsidRPr="00190BFF">
        <w:rPr>
          <w:rFonts w:ascii="Times New Roman" w:hAnsi="Times New Roman"/>
          <w:sz w:val="22"/>
        </w:rPr>
        <w:t>On RSTD report mapping</w:t>
      </w:r>
    </w:p>
    <w:p w:rsidR="007F4A7C" w:rsidRPr="00190BFF" w:rsidRDefault="007F4A7C" w:rsidP="007F4A7C">
      <w:pPr>
        <w:tabs>
          <w:tab w:val="left" w:pos="1985"/>
        </w:tabs>
        <w:rPr>
          <w:rFonts w:ascii="Times New Roman" w:hAnsi="Times New Roman"/>
          <w:sz w:val="22"/>
        </w:rPr>
      </w:pPr>
      <w:r w:rsidRPr="00190BFF">
        <w:rPr>
          <w:rFonts w:ascii="Times New Roman" w:hAnsi="Times New Roman"/>
          <w:b/>
          <w:sz w:val="22"/>
        </w:rPr>
        <w:t>Document for:</w:t>
      </w:r>
      <w:r w:rsidRPr="00190BFF">
        <w:rPr>
          <w:rFonts w:ascii="Times New Roman" w:hAnsi="Times New Roman"/>
          <w:sz w:val="22"/>
        </w:rPr>
        <w:tab/>
      </w:r>
      <w:r w:rsidR="00190BFF" w:rsidRPr="00190BFF">
        <w:rPr>
          <w:rFonts w:ascii="Times New Roman" w:hAnsi="Times New Roman"/>
          <w:sz w:val="22"/>
        </w:rPr>
        <w:t>Approval</w:t>
      </w:r>
    </w:p>
    <w:p w:rsidR="007F4A7C" w:rsidRPr="00513D73" w:rsidRDefault="00513D73" w:rsidP="007F4A7C">
      <w:pPr>
        <w:pStyle w:val="Heading1"/>
        <w:ind w:left="360" w:hanging="504"/>
      </w:pPr>
      <w:r>
        <w:t>Introduction</w:t>
      </w:r>
    </w:p>
    <w:p w:rsidR="005417E5" w:rsidRPr="003558D7" w:rsidRDefault="00F309D0" w:rsidP="008C06A7">
      <w:r>
        <w:rPr>
          <w:rFonts w:ascii="Times New Roman" w:hAnsi="Times New Roman"/>
          <w:sz w:val="20"/>
          <w:szCs w:val="20"/>
        </w:rPr>
        <w:t>In RAN4#76bis</w:t>
      </w:r>
      <w:r w:rsidR="000E69FA">
        <w:rPr>
          <w:rFonts w:ascii="Times New Roman" w:hAnsi="Times New Roman"/>
          <w:sz w:val="20"/>
          <w:szCs w:val="20"/>
        </w:rPr>
        <w:t xml:space="preserve">, the potential benefit to increase the granularity of RSTD report mapping is discussed. </w:t>
      </w:r>
      <w:r w:rsidR="00CF147D">
        <w:rPr>
          <w:rFonts w:ascii="Times New Roman" w:hAnsi="Times New Roman"/>
          <w:sz w:val="20"/>
          <w:szCs w:val="20"/>
        </w:rPr>
        <w:t>There are two proposed options to be considered [1]</w:t>
      </w:r>
    </w:p>
    <w:p w:rsidR="00CF147D" w:rsidRPr="00CF147D" w:rsidRDefault="00CF147D" w:rsidP="00CF147D">
      <w:pPr>
        <w:pStyle w:val="ListParagraph"/>
        <w:numPr>
          <w:ilvl w:val="0"/>
          <w:numId w:val="30"/>
        </w:numPr>
        <w:rPr>
          <w:rFonts w:ascii="Times New Roman" w:hAnsi="Times New Roman"/>
          <w:sz w:val="20"/>
          <w:szCs w:val="20"/>
        </w:rPr>
      </w:pPr>
      <w:r w:rsidRPr="00CF147D">
        <w:rPr>
          <w:rFonts w:ascii="Times New Roman" w:hAnsi="Times New Roman"/>
          <w:sz w:val="20"/>
          <w:szCs w:val="20"/>
        </w:rPr>
        <w:t>Option 1:</w:t>
      </w:r>
      <w:r w:rsidRPr="00CF147D">
        <w:t xml:space="preserve"> </w:t>
      </w:r>
      <w:r w:rsidRPr="00CF147D">
        <w:rPr>
          <w:rFonts w:ascii="Times New Roman" w:hAnsi="Times New Roman"/>
          <w:sz w:val="20"/>
          <w:szCs w:val="20"/>
        </w:rPr>
        <w:t>UE reports according to Rel-9 measurement report mapping and, when a higher resolution is supported, reports additionally a non-zero “delta”</w:t>
      </w:r>
    </w:p>
    <w:p w:rsidR="00CF147D" w:rsidRPr="00582697" w:rsidRDefault="00CF147D" w:rsidP="00CF147D">
      <w:pPr>
        <w:pStyle w:val="ListParagraph"/>
        <w:numPr>
          <w:ilvl w:val="1"/>
          <w:numId w:val="30"/>
        </w:numPr>
        <w:rPr>
          <w:rFonts w:ascii="Times New Roman" w:hAnsi="Times New Roman"/>
          <w:sz w:val="20"/>
          <w:szCs w:val="20"/>
        </w:rPr>
      </w:pPr>
      <w:r w:rsidRPr="00CF147D">
        <w:rPr>
          <w:rFonts w:ascii="Times New Roman" w:hAnsi="Times New Roman"/>
          <w:sz w:val="20"/>
          <w:szCs w:val="20"/>
        </w:rPr>
        <w:t>”delta” refers to a relative measurement value with respect to the Rel-9 measurement report mapping (</w:t>
      </w:r>
      <w:r w:rsidRPr="00582697">
        <w:rPr>
          <w:rFonts w:ascii="Times New Roman" w:hAnsi="Times New Roman"/>
          <w:sz w:val="20"/>
          <w:szCs w:val="20"/>
        </w:rPr>
        <w:t>delta=0 corresponds to Rel-9 measurement report)</w:t>
      </w:r>
    </w:p>
    <w:p w:rsidR="00CF147D" w:rsidRPr="00582697" w:rsidRDefault="00CF147D" w:rsidP="00CF147D">
      <w:pPr>
        <w:pStyle w:val="ListParagraph"/>
        <w:numPr>
          <w:ilvl w:val="1"/>
          <w:numId w:val="30"/>
        </w:numPr>
        <w:rPr>
          <w:rFonts w:ascii="Times New Roman" w:hAnsi="Times New Roman"/>
          <w:sz w:val="20"/>
          <w:szCs w:val="20"/>
        </w:rPr>
      </w:pPr>
      <w:r w:rsidRPr="00582697">
        <w:rPr>
          <w:rFonts w:ascii="Times New Roman" w:hAnsi="Times New Roman"/>
          <w:sz w:val="20"/>
          <w:szCs w:val="20"/>
        </w:rPr>
        <w:t>“delta” values are specified in a new table in 36.133</w:t>
      </w:r>
    </w:p>
    <w:p w:rsidR="00000000" w:rsidRPr="00582697" w:rsidRDefault="00CF147D" w:rsidP="00CF147D">
      <w:pPr>
        <w:pStyle w:val="ListParagraph"/>
        <w:numPr>
          <w:ilvl w:val="0"/>
          <w:numId w:val="30"/>
        </w:numPr>
        <w:rPr>
          <w:rFonts w:ascii="Times New Roman" w:hAnsi="Times New Roman"/>
          <w:sz w:val="20"/>
          <w:szCs w:val="20"/>
        </w:rPr>
      </w:pPr>
      <w:r w:rsidRPr="00582697">
        <w:rPr>
          <w:rFonts w:ascii="Times New Roman" w:hAnsi="Times New Roman"/>
          <w:sz w:val="20"/>
          <w:szCs w:val="20"/>
        </w:rPr>
        <w:t xml:space="preserve">Option 2: </w:t>
      </w:r>
      <w:r w:rsidR="00A4088D" w:rsidRPr="00582697">
        <w:rPr>
          <w:rFonts w:ascii="Times New Roman" w:hAnsi="Times New Roman"/>
          <w:sz w:val="20"/>
          <w:szCs w:val="20"/>
          <w:lang w:val="en-GB"/>
        </w:rPr>
        <w:t xml:space="preserve">The RSTD quantization with scaling impact to 36.133 </w:t>
      </w:r>
      <w:r w:rsidR="00A4088D" w:rsidRPr="00582697">
        <w:rPr>
          <w:rFonts w:ascii="Times New Roman" w:hAnsi="Times New Roman"/>
          <w:sz w:val="20"/>
          <w:szCs w:val="20"/>
        </w:rPr>
        <w:t xml:space="preserve">are expected to include no big change, only some clarification </w:t>
      </w:r>
      <w:r w:rsidR="00A4088D" w:rsidRPr="00582697">
        <w:rPr>
          <w:rFonts w:ascii="Times New Roman" w:hAnsi="Times New Roman"/>
          <w:sz w:val="20"/>
          <w:szCs w:val="20"/>
          <w:lang w:val="en-GB"/>
        </w:rPr>
        <w:t>is as below:</w:t>
      </w:r>
    </w:p>
    <w:p w:rsidR="00000000" w:rsidRPr="00582697" w:rsidRDefault="00A4088D" w:rsidP="00CF147D">
      <w:pPr>
        <w:pStyle w:val="ListParagraph"/>
        <w:numPr>
          <w:ilvl w:val="1"/>
          <w:numId w:val="30"/>
        </w:numPr>
        <w:rPr>
          <w:rFonts w:ascii="Times New Roman" w:hAnsi="Times New Roman"/>
          <w:sz w:val="20"/>
          <w:szCs w:val="20"/>
        </w:rPr>
      </w:pPr>
      <w:r w:rsidRPr="00582697">
        <w:rPr>
          <w:rFonts w:ascii="Times New Roman" w:hAnsi="Times New Roman"/>
          <w:sz w:val="20"/>
          <w:szCs w:val="20"/>
        </w:rPr>
        <w:t>UE reports according to Rel-9 measurement report mapping</w:t>
      </w:r>
    </w:p>
    <w:p w:rsidR="00000000" w:rsidRPr="00582697" w:rsidRDefault="00A4088D" w:rsidP="00CF147D">
      <w:pPr>
        <w:pStyle w:val="ListParagraph"/>
        <w:numPr>
          <w:ilvl w:val="1"/>
          <w:numId w:val="30"/>
        </w:numPr>
        <w:rPr>
          <w:rFonts w:ascii="Times New Roman" w:hAnsi="Times New Roman"/>
          <w:sz w:val="20"/>
          <w:szCs w:val="20"/>
        </w:rPr>
      </w:pPr>
      <w:r w:rsidRPr="00582697">
        <w:rPr>
          <w:rFonts w:ascii="Times New Roman" w:hAnsi="Times New Roman"/>
          <w:sz w:val="20"/>
          <w:szCs w:val="20"/>
        </w:rPr>
        <w:t xml:space="preserve">36.133, </w:t>
      </w:r>
      <w:proofErr w:type="spellStart"/>
      <w:r w:rsidRPr="00582697">
        <w:rPr>
          <w:rFonts w:ascii="Times New Roman" w:hAnsi="Times New Roman"/>
          <w:sz w:val="20"/>
          <w:szCs w:val="20"/>
        </w:rPr>
        <w:t>subclause</w:t>
      </w:r>
      <w:proofErr w:type="spellEnd"/>
      <w:r w:rsidRPr="00582697">
        <w:rPr>
          <w:rFonts w:ascii="Times New Roman" w:hAnsi="Times New Roman"/>
          <w:sz w:val="20"/>
          <w:szCs w:val="20"/>
        </w:rPr>
        <w:t xml:space="preserve"> 9.1.10.3: “RSTD Measurement Report Mapping” is modified to clearly state that the mapping of the scaled measurement quantity is defined in Table 9.1.10.3-1 as such:</w:t>
      </w:r>
    </w:p>
    <w:p w:rsidR="00000000" w:rsidRPr="00582697" w:rsidRDefault="00A4088D" w:rsidP="00CF147D">
      <w:pPr>
        <w:pStyle w:val="ListParagraph"/>
        <w:numPr>
          <w:ilvl w:val="1"/>
          <w:numId w:val="30"/>
        </w:numPr>
        <w:rPr>
          <w:rFonts w:ascii="Times New Roman" w:hAnsi="Times New Roman"/>
          <w:sz w:val="20"/>
          <w:szCs w:val="20"/>
        </w:rPr>
      </w:pPr>
      <w:r w:rsidRPr="00582697">
        <w:rPr>
          <w:rFonts w:ascii="Times New Roman" w:hAnsi="Times New Roman"/>
          <w:sz w:val="20"/>
          <w:szCs w:val="20"/>
        </w:rPr>
        <w:t xml:space="preserve">The RSTD value that is reported corresponds to a scaled RSTD measurement value, which equals to the measured RSTD value multiplied with a scaling factor [details defined in 36.355]. </w:t>
      </w:r>
    </w:p>
    <w:p w:rsidR="00000000" w:rsidRPr="00582697" w:rsidRDefault="00A4088D" w:rsidP="00CF147D">
      <w:pPr>
        <w:pStyle w:val="ListParagraph"/>
        <w:numPr>
          <w:ilvl w:val="1"/>
          <w:numId w:val="30"/>
        </w:numPr>
        <w:rPr>
          <w:rFonts w:ascii="Times New Roman" w:hAnsi="Times New Roman"/>
          <w:sz w:val="20"/>
          <w:szCs w:val="20"/>
        </w:rPr>
      </w:pPr>
      <w:r w:rsidRPr="00582697">
        <w:rPr>
          <w:rFonts w:ascii="Times New Roman" w:hAnsi="Times New Roman"/>
          <w:sz w:val="20"/>
          <w:szCs w:val="20"/>
        </w:rPr>
        <w:t xml:space="preserve">The reporting range of </w:t>
      </w:r>
      <w:r w:rsidRPr="00582697">
        <w:rPr>
          <w:rFonts w:ascii="Times New Roman" w:hAnsi="Times New Roman"/>
          <w:sz w:val="20"/>
          <w:szCs w:val="20"/>
        </w:rPr>
        <w:t>scaled</w:t>
      </w:r>
      <w:r w:rsidRPr="00582697">
        <w:rPr>
          <w:rFonts w:ascii="Times New Roman" w:hAnsi="Times New Roman"/>
          <w:sz w:val="20"/>
          <w:szCs w:val="20"/>
        </w:rPr>
        <w:t xml:space="preserve"> RSTD is defined from -153</w:t>
      </w:r>
      <w:r w:rsidRPr="00582697">
        <w:rPr>
          <w:rFonts w:ascii="Times New Roman" w:hAnsi="Times New Roman"/>
          <w:sz w:val="20"/>
          <w:szCs w:val="20"/>
        </w:rPr>
        <w:t xml:space="preserve">91Ts to 15391Ts with 1Ts resolution for absolute value of </w:t>
      </w:r>
      <w:r w:rsidRPr="00582697">
        <w:rPr>
          <w:rFonts w:ascii="Times New Roman" w:hAnsi="Times New Roman"/>
          <w:sz w:val="20"/>
          <w:szCs w:val="20"/>
        </w:rPr>
        <w:t>scaled</w:t>
      </w:r>
      <w:r w:rsidRPr="00582697">
        <w:rPr>
          <w:rFonts w:ascii="Times New Roman" w:hAnsi="Times New Roman"/>
          <w:sz w:val="20"/>
          <w:szCs w:val="20"/>
        </w:rPr>
        <w:t xml:space="preserve"> RSTD less or equal to 4096Ts and 5Ts for absolute value </w:t>
      </w:r>
      <w:proofErr w:type="gramStart"/>
      <w:r w:rsidRPr="00582697">
        <w:rPr>
          <w:rFonts w:ascii="Times New Roman" w:hAnsi="Times New Roman"/>
          <w:sz w:val="20"/>
          <w:szCs w:val="20"/>
        </w:rPr>
        <w:t xml:space="preserve">of </w:t>
      </w:r>
      <w:r w:rsidRPr="00582697">
        <w:rPr>
          <w:rFonts w:ascii="Times New Roman" w:hAnsi="Times New Roman"/>
          <w:sz w:val="20"/>
          <w:szCs w:val="20"/>
        </w:rPr>
        <w:t xml:space="preserve"> </w:t>
      </w:r>
      <w:r w:rsidRPr="00582697">
        <w:rPr>
          <w:rFonts w:ascii="Times New Roman" w:hAnsi="Times New Roman"/>
          <w:sz w:val="20"/>
          <w:szCs w:val="20"/>
        </w:rPr>
        <w:t>scaled</w:t>
      </w:r>
      <w:proofErr w:type="gramEnd"/>
      <w:r w:rsidRPr="00582697">
        <w:rPr>
          <w:rFonts w:ascii="Times New Roman" w:hAnsi="Times New Roman"/>
          <w:sz w:val="20"/>
          <w:szCs w:val="20"/>
        </w:rPr>
        <w:t xml:space="preserve"> RSTD greater than 4096Ts.</w:t>
      </w:r>
    </w:p>
    <w:p w:rsidR="00000000" w:rsidRPr="00CF147D" w:rsidRDefault="00A4088D" w:rsidP="00CF147D">
      <w:pPr>
        <w:pStyle w:val="ListParagraph"/>
        <w:numPr>
          <w:ilvl w:val="1"/>
          <w:numId w:val="30"/>
        </w:numPr>
        <w:rPr>
          <w:rFonts w:ascii="Times New Roman" w:hAnsi="Times New Roman"/>
          <w:sz w:val="20"/>
          <w:szCs w:val="20"/>
        </w:rPr>
      </w:pPr>
      <w:r w:rsidRPr="00582697">
        <w:rPr>
          <w:rFonts w:ascii="Times New Roman" w:hAnsi="Times New Roman"/>
          <w:sz w:val="20"/>
          <w:szCs w:val="20"/>
        </w:rPr>
        <w:t xml:space="preserve">The mapping of </w:t>
      </w:r>
      <w:r w:rsidRPr="00582697">
        <w:rPr>
          <w:rFonts w:ascii="Times New Roman" w:hAnsi="Times New Roman"/>
          <w:sz w:val="20"/>
          <w:szCs w:val="20"/>
        </w:rPr>
        <w:t xml:space="preserve">scaled measurement </w:t>
      </w:r>
      <w:r w:rsidRPr="00582697">
        <w:rPr>
          <w:rFonts w:ascii="Times New Roman" w:hAnsi="Times New Roman"/>
          <w:sz w:val="20"/>
          <w:szCs w:val="20"/>
        </w:rPr>
        <w:t>quantity is defined in Table 9.1.10.3-1</w:t>
      </w:r>
      <w:r w:rsidRPr="00CF147D">
        <w:rPr>
          <w:rFonts w:ascii="Times New Roman" w:hAnsi="Times New Roman"/>
          <w:sz w:val="20"/>
          <w:szCs w:val="20"/>
        </w:rPr>
        <w:t>.</w:t>
      </w:r>
    </w:p>
    <w:p w:rsidR="00CF147D" w:rsidRDefault="00CF147D" w:rsidP="00CF147D">
      <w:pPr>
        <w:rPr>
          <w:rFonts w:ascii="Times New Roman" w:hAnsi="Times New Roman"/>
          <w:sz w:val="20"/>
          <w:szCs w:val="20"/>
        </w:rPr>
      </w:pPr>
    </w:p>
    <w:p w:rsidR="00F01CA2" w:rsidRPr="00CF147D" w:rsidRDefault="00CF147D" w:rsidP="00CF147D">
      <w:pPr>
        <w:rPr>
          <w:rFonts w:ascii="Times New Roman" w:hAnsi="Times New Roman"/>
          <w:sz w:val="20"/>
          <w:szCs w:val="20"/>
        </w:rPr>
      </w:pPr>
      <w:r>
        <w:rPr>
          <w:rFonts w:ascii="Times New Roman" w:hAnsi="Times New Roman"/>
          <w:sz w:val="20"/>
          <w:szCs w:val="20"/>
        </w:rPr>
        <w:t>Even though there have been a lot of discussion on how to increase the reported RSTD granularity</w:t>
      </w:r>
      <w:r w:rsidR="0094113D">
        <w:rPr>
          <w:rFonts w:ascii="Times New Roman" w:hAnsi="Times New Roman"/>
          <w:sz w:val="20"/>
          <w:szCs w:val="20"/>
        </w:rPr>
        <w:t xml:space="preserve">, the corresponding </w:t>
      </w:r>
      <w:r w:rsidR="00582697">
        <w:rPr>
          <w:rFonts w:ascii="Times New Roman" w:hAnsi="Times New Roman"/>
          <w:sz w:val="20"/>
          <w:szCs w:val="20"/>
        </w:rPr>
        <w:t xml:space="preserve">OTDOA </w:t>
      </w:r>
      <w:r w:rsidR="0094113D">
        <w:rPr>
          <w:rFonts w:ascii="Times New Roman" w:hAnsi="Times New Roman"/>
          <w:sz w:val="20"/>
          <w:szCs w:val="20"/>
        </w:rPr>
        <w:t xml:space="preserve">gain however </w:t>
      </w:r>
      <w:r w:rsidR="00743561">
        <w:rPr>
          <w:rFonts w:ascii="Times New Roman" w:hAnsi="Times New Roman"/>
          <w:sz w:val="20"/>
          <w:szCs w:val="20"/>
        </w:rPr>
        <w:t>has not been thoroughly studied, especially when</w:t>
      </w:r>
      <w:r w:rsidR="00582697">
        <w:rPr>
          <w:rFonts w:ascii="Times New Roman" w:hAnsi="Times New Roman"/>
          <w:sz w:val="20"/>
          <w:szCs w:val="20"/>
        </w:rPr>
        <w:t xml:space="preserve"> a realistic</w:t>
      </w:r>
      <w:r w:rsidR="00743561">
        <w:rPr>
          <w:rFonts w:ascii="Times New Roman" w:hAnsi="Times New Roman"/>
          <w:sz w:val="20"/>
          <w:szCs w:val="20"/>
        </w:rPr>
        <w:t xml:space="preserve"> time alignment error at </w:t>
      </w:r>
      <w:proofErr w:type="spellStart"/>
      <w:r w:rsidR="00743561">
        <w:rPr>
          <w:rFonts w:ascii="Times New Roman" w:hAnsi="Times New Roman"/>
          <w:sz w:val="20"/>
          <w:szCs w:val="20"/>
        </w:rPr>
        <w:t>eNB</w:t>
      </w:r>
      <w:proofErr w:type="spellEnd"/>
      <w:r w:rsidR="00743561">
        <w:rPr>
          <w:rFonts w:ascii="Times New Roman" w:hAnsi="Times New Roman"/>
          <w:sz w:val="20"/>
          <w:szCs w:val="20"/>
        </w:rPr>
        <w:t xml:space="preserve"> is considered. </w:t>
      </w:r>
      <w:r>
        <w:rPr>
          <w:rFonts w:ascii="Times New Roman" w:hAnsi="Times New Roman"/>
          <w:sz w:val="20"/>
          <w:szCs w:val="20"/>
        </w:rPr>
        <w:t xml:space="preserve">In this contribution, the potential benefit to increase RSTD reporting granularity is discussed. </w:t>
      </w:r>
    </w:p>
    <w:p w:rsidR="00CF147D" w:rsidRDefault="00CF147D" w:rsidP="003558D7">
      <w:pPr>
        <w:rPr>
          <w:rFonts w:ascii="Times New Roman" w:hAnsi="Times New Roman"/>
          <w:sz w:val="20"/>
          <w:szCs w:val="20"/>
        </w:rPr>
      </w:pPr>
    </w:p>
    <w:p w:rsidR="007B595E" w:rsidRPr="003558D7" w:rsidRDefault="00BC2FE6" w:rsidP="007B595E">
      <w:pPr>
        <w:pStyle w:val="Heading1"/>
        <w:ind w:left="0" w:firstLine="0"/>
      </w:pPr>
      <w:r>
        <w:t>Issues to be considered on OTDOA performance</w:t>
      </w:r>
    </w:p>
    <w:p w:rsidR="00BC2FE6" w:rsidRDefault="00D11543" w:rsidP="004C099D">
      <w:pPr>
        <w:rPr>
          <w:rFonts w:ascii="Times New Roman" w:hAnsi="Times New Roman"/>
          <w:sz w:val="20"/>
          <w:szCs w:val="20"/>
          <w:lang w:val="en-GB"/>
        </w:rPr>
      </w:pPr>
      <w:r>
        <w:rPr>
          <w:rFonts w:ascii="Times New Roman" w:hAnsi="Times New Roman"/>
          <w:sz w:val="20"/>
          <w:szCs w:val="20"/>
          <w:lang w:val="en-GB"/>
        </w:rPr>
        <w:t xml:space="preserve">It is well known that </w:t>
      </w:r>
      <w:r w:rsidR="00BC2FE6">
        <w:rPr>
          <w:rFonts w:ascii="Times New Roman" w:hAnsi="Times New Roman"/>
          <w:sz w:val="20"/>
          <w:szCs w:val="20"/>
          <w:lang w:val="en-GB"/>
        </w:rPr>
        <w:t xml:space="preserve">OTDOA </w:t>
      </w:r>
      <w:r>
        <w:rPr>
          <w:rFonts w:ascii="Times New Roman" w:hAnsi="Times New Roman"/>
          <w:sz w:val="20"/>
          <w:szCs w:val="20"/>
          <w:lang w:val="en-GB"/>
        </w:rPr>
        <w:t>performance depends on the follow factors</w:t>
      </w:r>
    </w:p>
    <w:p w:rsidR="005E4A7B" w:rsidRDefault="00D11543" w:rsidP="00D11543">
      <w:pPr>
        <w:numPr>
          <w:ilvl w:val="0"/>
          <w:numId w:val="32"/>
        </w:numPr>
        <w:rPr>
          <w:rFonts w:ascii="Times New Roman" w:hAnsi="Times New Roman"/>
          <w:sz w:val="20"/>
          <w:szCs w:val="20"/>
          <w:lang w:val="en-GB"/>
        </w:rPr>
      </w:pPr>
      <w:r>
        <w:rPr>
          <w:rFonts w:ascii="Times New Roman" w:hAnsi="Times New Roman"/>
          <w:sz w:val="20"/>
          <w:szCs w:val="20"/>
          <w:lang w:val="en-GB"/>
        </w:rPr>
        <w:t>RSTD estimation/reporting accuracy</w:t>
      </w:r>
      <w:r w:rsidR="005E4A7B">
        <w:rPr>
          <w:rFonts w:ascii="Times New Roman" w:hAnsi="Times New Roman"/>
          <w:sz w:val="20"/>
          <w:szCs w:val="20"/>
          <w:lang w:val="en-GB"/>
        </w:rPr>
        <w:t>.</w:t>
      </w:r>
    </w:p>
    <w:p w:rsidR="00D11543" w:rsidRDefault="005E4A7B" w:rsidP="00D11543">
      <w:pPr>
        <w:numPr>
          <w:ilvl w:val="0"/>
          <w:numId w:val="32"/>
        </w:numPr>
        <w:rPr>
          <w:rFonts w:ascii="Times New Roman" w:hAnsi="Times New Roman"/>
          <w:sz w:val="20"/>
          <w:szCs w:val="20"/>
          <w:lang w:val="en-GB"/>
        </w:rPr>
      </w:pPr>
      <w:r>
        <w:rPr>
          <w:rFonts w:ascii="Times New Roman" w:hAnsi="Times New Roman"/>
          <w:sz w:val="20"/>
          <w:szCs w:val="20"/>
          <w:lang w:val="en-GB"/>
        </w:rPr>
        <w:t>N</w:t>
      </w:r>
      <w:r w:rsidR="00D11543">
        <w:rPr>
          <w:rFonts w:ascii="Times New Roman" w:hAnsi="Times New Roman"/>
          <w:sz w:val="20"/>
          <w:szCs w:val="20"/>
          <w:lang w:val="en-GB"/>
        </w:rPr>
        <w:t>umber of reported RSTD</w:t>
      </w:r>
    </w:p>
    <w:p w:rsidR="00D11543" w:rsidRDefault="00D11543" w:rsidP="00D11543">
      <w:pPr>
        <w:numPr>
          <w:ilvl w:val="0"/>
          <w:numId w:val="32"/>
        </w:numPr>
        <w:rPr>
          <w:rFonts w:ascii="Times New Roman" w:hAnsi="Times New Roman"/>
          <w:sz w:val="20"/>
          <w:szCs w:val="20"/>
          <w:lang w:val="en-GB"/>
        </w:rPr>
      </w:pPr>
      <w:r>
        <w:rPr>
          <w:rFonts w:ascii="Times New Roman" w:hAnsi="Times New Roman"/>
          <w:sz w:val="20"/>
          <w:szCs w:val="20"/>
          <w:lang w:val="en-GB"/>
        </w:rPr>
        <w:t xml:space="preserve">Knowledge of the geographical coordinates of reference and measured </w:t>
      </w:r>
      <w:proofErr w:type="spellStart"/>
      <w:r>
        <w:rPr>
          <w:rFonts w:ascii="Times New Roman" w:hAnsi="Times New Roman"/>
          <w:sz w:val="20"/>
          <w:szCs w:val="20"/>
          <w:lang w:val="en-GB"/>
        </w:rPr>
        <w:t>eNB</w:t>
      </w:r>
      <w:proofErr w:type="spellEnd"/>
    </w:p>
    <w:p w:rsidR="00D11543" w:rsidRDefault="00D11543" w:rsidP="00D11543">
      <w:pPr>
        <w:numPr>
          <w:ilvl w:val="0"/>
          <w:numId w:val="32"/>
        </w:numPr>
        <w:rPr>
          <w:rFonts w:ascii="Times New Roman" w:hAnsi="Times New Roman"/>
          <w:sz w:val="20"/>
          <w:szCs w:val="20"/>
          <w:lang w:val="en-GB"/>
        </w:rPr>
      </w:pPr>
      <w:r>
        <w:rPr>
          <w:rFonts w:ascii="Times New Roman" w:hAnsi="Times New Roman"/>
          <w:sz w:val="20"/>
          <w:szCs w:val="20"/>
          <w:lang w:val="en-GB"/>
        </w:rPr>
        <w:t xml:space="preserve">Time alignment error </w:t>
      </w:r>
      <w:r w:rsidR="005E4A7B">
        <w:rPr>
          <w:rFonts w:ascii="Times New Roman" w:hAnsi="Times New Roman"/>
          <w:sz w:val="20"/>
          <w:szCs w:val="20"/>
          <w:lang w:val="en-GB"/>
        </w:rPr>
        <w:t xml:space="preserve">(TAE) </w:t>
      </w:r>
      <w:r>
        <w:rPr>
          <w:rFonts w:ascii="Times New Roman" w:hAnsi="Times New Roman"/>
          <w:sz w:val="20"/>
          <w:szCs w:val="20"/>
          <w:lang w:val="en-GB"/>
        </w:rPr>
        <w:t xml:space="preserve">between reference and measured </w:t>
      </w:r>
      <w:proofErr w:type="spellStart"/>
      <w:r>
        <w:rPr>
          <w:rFonts w:ascii="Times New Roman" w:hAnsi="Times New Roman"/>
          <w:sz w:val="20"/>
          <w:szCs w:val="20"/>
          <w:lang w:val="en-GB"/>
        </w:rPr>
        <w:t>eNBs</w:t>
      </w:r>
      <w:proofErr w:type="spellEnd"/>
    </w:p>
    <w:p w:rsidR="00D11543" w:rsidRDefault="00D11543" w:rsidP="004C099D">
      <w:pPr>
        <w:rPr>
          <w:rFonts w:ascii="Times New Roman" w:hAnsi="Times New Roman"/>
          <w:sz w:val="20"/>
          <w:szCs w:val="20"/>
          <w:lang w:val="en-GB"/>
        </w:rPr>
      </w:pPr>
    </w:p>
    <w:p w:rsidR="00BC2FE6" w:rsidRDefault="00D11543" w:rsidP="004C099D">
      <w:pPr>
        <w:rPr>
          <w:rFonts w:ascii="Times New Roman" w:hAnsi="Times New Roman"/>
          <w:sz w:val="20"/>
          <w:szCs w:val="20"/>
          <w:lang w:val="en-GB"/>
        </w:rPr>
      </w:pPr>
      <w:r>
        <w:rPr>
          <w:rFonts w:ascii="Times New Roman" w:hAnsi="Times New Roman"/>
          <w:sz w:val="20"/>
          <w:szCs w:val="20"/>
          <w:lang w:val="en-GB"/>
        </w:rPr>
        <w:t xml:space="preserve">Among the aforementioned issues, the knowledge of </w:t>
      </w:r>
      <w:proofErr w:type="spellStart"/>
      <w:r>
        <w:rPr>
          <w:rFonts w:ascii="Times New Roman" w:hAnsi="Times New Roman"/>
          <w:sz w:val="20"/>
          <w:szCs w:val="20"/>
          <w:lang w:val="en-GB"/>
        </w:rPr>
        <w:t>eNB</w:t>
      </w:r>
      <w:proofErr w:type="spellEnd"/>
      <w:r>
        <w:rPr>
          <w:rFonts w:ascii="Times New Roman" w:hAnsi="Times New Roman"/>
          <w:sz w:val="20"/>
          <w:szCs w:val="20"/>
          <w:lang w:val="en-GB"/>
        </w:rPr>
        <w:t xml:space="preserve"> coordination can be assumed</w:t>
      </w:r>
      <w:r w:rsidR="005E4A7B">
        <w:rPr>
          <w:rFonts w:ascii="Times New Roman" w:hAnsi="Times New Roman"/>
          <w:sz w:val="20"/>
          <w:szCs w:val="20"/>
          <w:lang w:val="en-GB"/>
        </w:rPr>
        <w:t xml:space="preserve"> accurate enough</w:t>
      </w:r>
      <w:r>
        <w:rPr>
          <w:rFonts w:ascii="Times New Roman" w:hAnsi="Times New Roman"/>
          <w:sz w:val="20"/>
          <w:szCs w:val="20"/>
          <w:lang w:val="en-GB"/>
        </w:rPr>
        <w:t xml:space="preserve"> at </w:t>
      </w:r>
      <w:proofErr w:type="spellStart"/>
      <w:r>
        <w:rPr>
          <w:rFonts w:ascii="Times New Roman" w:hAnsi="Times New Roman"/>
          <w:sz w:val="20"/>
          <w:szCs w:val="20"/>
          <w:lang w:val="en-GB"/>
        </w:rPr>
        <w:t>eNB</w:t>
      </w:r>
      <w:proofErr w:type="spellEnd"/>
      <w:r>
        <w:rPr>
          <w:rFonts w:ascii="Times New Roman" w:hAnsi="Times New Roman"/>
          <w:sz w:val="20"/>
          <w:szCs w:val="20"/>
          <w:lang w:val="en-GB"/>
        </w:rPr>
        <w:t xml:space="preserve"> side since the related information most likely keeps unchanged. The remaining t</w:t>
      </w:r>
      <w:r w:rsidR="005E4A7B">
        <w:rPr>
          <w:rFonts w:ascii="Times New Roman" w:hAnsi="Times New Roman"/>
          <w:sz w:val="20"/>
          <w:szCs w:val="20"/>
          <w:lang w:val="en-GB"/>
        </w:rPr>
        <w:t>hree</w:t>
      </w:r>
      <w:r>
        <w:rPr>
          <w:rFonts w:ascii="Times New Roman" w:hAnsi="Times New Roman"/>
          <w:sz w:val="20"/>
          <w:szCs w:val="20"/>
          <w:lang w:val="en-GB"/>
        </w:rPr>
        <w:t xml:space="preserve"> issues are</w:t>
      </w:r>
      <w:r w:rsidR="005E4A7B">
        <w:rPr>
          <w:rFonts w:ascii="Times New Roman" w:hAnsi="Times New Roman"/>
          <w:sz w:val="20"/>
          <w:szCs w:val="20"/>
          <w:lang w:val="en-GB"/>
        </w:rPr>
        <w:t xml:space="preserve"> related to the quantity and quality of</w:t>
      </w:r>
      <w:r>
        <w:rPr>
          <w:rFonts w:ascii="Times New Roman" w:hAnsi="Times New Roman"/>
          <w:sz w:val="20"/>
          <w:szCs w:val="20"/>
          <w:lang w:val="en-GB"/>
        </w:rPr>
        <w:t xml:space="preserve"> RSTD</w:t>
      </w:r>
      <w:r w:rsidR="005E4A7B">
        <w:rPr>
          <w:rFonts w:ascii="Times New Roman" w:hAnsi="Times New Roman"/>
          <w:sz w:val="20"/>
          <w:szCs w:val="20"/>
          <w:lang w:val="en-GB"/>
        </w:rPr>
        <w:t xml:space="preserve"> reporting, and the TAE at </w:t>
      </w:r>
      <w:proofErr w:type="spellStart"/>
      <w:r w:rsidR="005E4A7B">
        <w:rPr>
          <w:rFonts w:ascii="Times New Roman" w:hAnsi="Times New Roman"/>
          <w:sz w:val="20"/>
          <w:szCs w:val="20"/>
          <w:lang w:val="en-GB"/>
        </w:rPr>
        <w:t>eNB</w:t>
      </w:r>
      <w:proofErr w:type="spellEnd"/>
      <w:r w:rsidR="005E4A7B">
        <w:rPr>
          <w:rFonts w:ascii="Times New Roman" w:hAnsi="Times New Roman"/>
          <w:sz w:val="20"/>
          <w:szCs w:val="20"/>
          <w:lang w:val="en-GB"/>
        </w:rPr>
        <w:t xml:space="preserve"> side.</w:t>
      </w:r>
      <w:r>
        <w:rPr>
          <w:rFonts w:ascii="Times New Roman" w:hAnsi="Times New Roman"/>
          <w:sz w:val="20"/>
          <w:szCs w:val="20"/>
          <w:lang w:val="en-GB"/>
        </w:rPr>
        <w:t xml:space="preserve">   </w:t>
      </w:r>
    </w:p>
    <w:p w:rsidR="0034088E" w:rsidRDefault="0034088E" w:rsidP="004C099D">
      <w:pPr>
        <w:rPr>
          <w:rFonts w:ascii="Times New Roman" w:hAnsi="Times New Roman"/>
          <w:sz w:val="20"/>
          <w:szCs w:val="20"/>
          <w:lang w:val="en-GB"/>
        </w:rPr>
      </w:pPr>
    </w:p>
    <w:p w:rsidR="00BC2FE6" w:rsidRDefault="005E4A7B" w:rsidP="004C099D">
      <w:pPr>
        <w:rPr>
          <w:rFonts w:ascii="Times New Roman" w:hAnsi="Times New Roman"/>
          <w:sz w:val="20"/>
          <w:szCs w:val="20"/>
          <w:lang w:val="en-GB"/>
        </w:rPr>
      </w:pPr>
      <w:r>
        <w:rPr>
          <w:rFonts w:ascii="Times New Roman" w:hAnsi="Times New Roman"/>
          <w:sz w:val="20"/>
          <w:szCs w:val="20"/>
          <w:lang w:val="en-GB"/>
        </w:rPr>
        <w:t xml:space="preserve">Frames of LTE signals present at the </w:t>
      </w:r>
      <w:proofErr w:type="spellStart"/>
      <w:r>
        <w:rPr>
          <w:rFonts w:ascii="Times New Roman" w:hAnsi="Times New Roman"/>
          <w:sz w:val="20"/>
          <w:szCs w:val="20"/>
          <w:lang w:val="en-GB"/>
        </w:rPr>
        <w:t>eNB</w:t>
      </w:r>
      <w:proofErr w:type="spellEnd"/>
      <w:r>
        <w:rPr>
          <w:rFonts w:ascii="Times New Roman" w:hAnsi="Times New Roman"/>
          <w:sz w:val="20"/>
          <w:szCs w:val="20"/>
          <w:lang w:val="en-GB"/>
        </w:rPr>
        <w:t xml:space="preserve"> antenna ports are not perfectly aligned. As a result, TAE requirements are defined in 36.104 as follow</w:t>
      </w:r>
    </w:p>
    <w:p w:rsidR="005E4A7B" w:rsidRPr="00751065" w:rsidRDefault="005E4A7B" w:rsidP="005E4A7B">
      <w:pPr>
        <w:pStyle w:val="Heading3"/>
        <w:numPr>
          <w:ilvl w:val="0"/>
          <w:numId w:val="0"/>
        </w:numPr>
        <w:rPr>
          <w:rFonts w:ascii="Times New Roman" w:hAnsi="Times New Roman"/>
          <w:i/>
          <w:sz w:val="22"/>
          <w:szCs w:val="22"/>
          <w:u w:val="single"/>
          <w:lang w:eastAsia="ko-KR"/>
        </w:rPr>
      </w:pPr>
      <w:bookmarkStart w:id="0" w:name="_Toc345279321"/>
      <w:r w:rsidRPr="00751065">
        <w:rPr>
          <w:rFonts w:ascii="Times New Roman" w:hAnsi="Times New Roman"/>
          <w:i/>
          <w:sz w:val="22"/>
          <w:szCs w:val="22"/>
          <w:u w:val="single"/>
        </w:rPr>
        <w:t>6.5.3</w:t>
      </w:r>
      <w:r w:rsidRPr="00751065">
        <w:rPr>
          <w:rFonts w:ascii="Times New Roman" w:hAnsi="Times New Roman"/>
          <w:i/>
          <w:sz w:val="22"/>
          <w:szCs w:val="22"/>
          <w:u w:val="single"/>
        </w:rPr>
        <w:tab/>
        <w:t>Time alignment error</w:t>
      </w:r>
      <w:bookmarkEnd w:id="0"/>
    </w:p>
    <w:p w:rsidR="005E4A7B" w:rsidRPr="00751065" w:rsidRDefault="005E4A7B" w:rsidP="005E4A7B">
      <w:pPr>
        <w:rPr>
          <w:rFonts w:ascii="Times New Roman" w:hAnsi="Times New Roman"/>
          <w:i/>
          <w:sz w:val="22"/>
          <w:szCs w:val="22"/>
          <w:u w:val="single"/>
        </w:rPr>
      </w:pPr>
      <w:r w:rsidRPr="00751065">
        <w:rPr>
          <w:rFonts w:ascii="Times New Roman" w:hAnsi="Times New Roman"/>
          <w:i/>
          <w:sz w:val="22"/>
          <w:szCs w:val="22"/>
          <w:u w:val="single"/>
        </w:rPr>
        <w:t xml:space="preserve">This requirement applies to frame timing in TX diversity, MIMO transmission, carrier aggregation and their combinations. </w:t>
      </w:r>
    </w:p>
    <w:p w:rsidR="005E4A7B" w:rsidRPr="00751065" w:rsidRDefault="005E4A7B" w:rsidP="005E4A7B">
      <w:pPr>
        <w:rPr>
          <w:rFonts w:ascii="Times New Roman" w:hAnsi="Times New Roman"/>
          <w:i/>
          <w:sz w:val="22"/>
          <w:szCs w:val="22"/>
          <w:u w:val="single"/>
        </w:rPr>
      </w:pPr>
      <w:r w:rsidRPr="00751065">
        <w:rPr>
          <w:rFonts w:ascii="Times New Roman" w:hAnsi="Times New Roman"/>
          <w:i/>
          <w:sz w:val="22"/>
          <w:szCs w:val="22"/>
          <w:u w:val="single"/>
        </w:rPr>
        <w:lastRenderedPageBreak/>
        <w:t>Frames of the LTE signals present at the BS transmitter antenna port(s) are not perfectly aligned in time. In relation to each other, the RF signals present at the BS transmitter antenna port(s) experience certain timing differences.</w:t>
      </w:r>
    </w:p>
    <w:p w:rsidR="005E4A7B" w:rsidRPr="00751065" w:rsidRDefault="005E4A7B" w:rsidP="005E4A7B">
      <w:pPr>
        <w:rPr>
          <w:rFonts w:ascii="Times New Roman" w:hAnsi="Times New Roman"/>
          <w:i/>
          <w:sz w:val="22"/>
          <w:szCs w:val="22"/>
          <w:u w:val="single"/>
        </w:rPr>
      </w:pPr>
      <w:r w:rsidRPr="00751065">
        <w:rPr>
          <w:rFonts w:ascii="Times New Roman" w:hAnsi="Times New Roman"/>
          <w:i/>
          <w:sz w:val="22"/>
          <w:szCs w:val="22"/>
          <w:u w:val="single"/>
        </w:rPr>
        <w:t>For a specific set of signals/transmitter configuration/transmission mode, time alignment error (TAE) is defined as the largest timing difference between any two signals.</w:t>
      </w:r>
    </w:p>
    <w:p w:rsidR="005E4A7B" w:rsidRPr="00751065" w:rsidRDefault="005E4A7B" w:rsidP="005E4A7B">
      <w:pPr>
        <w:pStyle w:val="Heading4"/>
        <w:numPr>
          <w:ilvl w:val="0"/>
          <w:numId w:val="0"/>
        </w:numPr>
        <w:rPr>
          <w:rFonts w:ascii="Times New Roman" w:hAnsi="Times New Roman"/>
          <w:i/>
          <w:sz w:val="22"/>
          <w:szCs w:val="22"/>
          <w:u w:val="single"/>
        </w:rPr>
      </w:pPr>
      <w:bookmarkStart w:id="1" w:name="_Toc345279322"/>
      <w:r w:rsidRPr="00751065">
        <w:rPr>
          <w:rFonts w:ascii="Times New Roman" w:hAnsi="Times New Roman"/>
          <w:i/>
          <w:sz w:val="22"/>
          <w:szCs w:val="22"/>
          <w:u w:val="single"/>
        </w:rPr>
        <w:t>6.5.3.1</w:t>
      </w:r>
      <w:r w:rsidRPr="00751065">
        <w:rPr>
          <w:rFonts w:ascii="Times New Roman" w:hAnsi="Times New Roman"/>
          <w:i/>
          <w:sz w:val="22"/>
          <w:szCs w:val="22"/>
          <w:u w:val="single"/>
        </w:rPr>
        <w:tab/>
        <w:t>Minimum Requirement</w:t>
      </w:r>
      <w:bookmarkEnd w:id="1"/>
    </w:p>
    <w:p w:rsidR="005E4A7B" w:rsidRPr="00751065" w:rsidRDefault="005E4A7B" w:rsidP="005E4A7B">
      <w:pPr>
        <w:rPr>
          <w:rFonts w:ascii="Times New Roman" w:hAnsi="Times New Roman"/>
          <w:i/>
          <w:sz w:val="22"/>
          <w:szCs w:val="22"/>
          <w:u w:val="single"/>
        </w:rPr>
      </w:pPr>
      <w:r w:rsidRPr="00751065">
        <w:rPr>
          <w:rFonts w:ascii="Times New Roman" w:hAnsi="Times New Roman"/>
          <w:i/>
          <w:sz w:val="22"/>
          <w:szCs w:val="22"/>
          <w:u w:val="single"/>
        </w:rPr>
        <w:t>For MIMO or TX diversity transmissions, at each carrier frequency, TAE shall not exceed 65 ns.</w:t>
      </w:r>
    </w:p>
    <w:p w:rsidR="005E4A7B" w:rsidRPr="00751065" w:rsidRDefault="005E4A7B" w:rsidP="005E4A7B">
      <w:pPr>
        <w:rPr>
          <w:rFonts w:ascii="Times New Roman" w:hAnsi="Times New Roman"/>
          <w:i/>
          <w:sz w:val="22"/>
          <w:szCs w:val="22"/>
          <w:u w:val="single"/>
        </w:rPr>
      </w:pPr>
      <w:r w:rsidRPr="00751065">
        <w:rPr>
          <w:rFonts w:ascii="Times New Roman" w:hAnsi="Times New Roman"/>
          <w:i/>
          <w:sz w:val="22"/>
          <w:szCs w:val="22"/>
          <w:u w:val="single"/>
        </w:rPr>
        <w:t>For intra-band contiguous carrier aggregation, with or without MIMO or TX diversity, TAE shall not exceed 130 ns.</w:t>
      </w:r>
    </w:p>
    <w:p w:rsidR="005E4A7B" w:rsidRPr="00751065" w:rsidRDefault="005E4A7B" w:rsidP="005E4A7B">
      <w:pPr>
        <w:rPr>
          <w:rFonts w:ascii="Times New Roman" w:hAnsi="Times New Roman"/>
          <w:i/>
          <w:sz w:val="22"/>
          <w:szCs w:val="22"/>
          <w:u w:val="single"/>
        </w:rPr>
      </w:pPr>
      <w:r w:rsidRPr="00751065">
        <w:rPr>
          <w:rFonts w:ascii="Times New Roman" w:hAnsi="Times New Roman"/>
          <w:i/>
          <w:sz w:val="22"/>
          <w:szCs w:val="22"/>
          <w:u w:val="single"/>
        </w:rPr>
        <w:t>For intra-band non-contiguous carrier aggregation, with or without MIMO or TX diversity, TAE shall not exceed 260 ns.</w:t>
      </w:r>
    </w:p>
    <w:p w:rsidR="005E4A7B" w:rsidRPr="00751065" w:rsidRDefault="005E4A7B" w:rsidP="005E4A7B">
      <w:pPr>
        <w:rPr>
          <w:rFonts w:ascii="Times New Roman" w:hAnsi="Times New Roman"/>
          <w:i/>
          <w:sz w:val="22"/>
          <w:szCs w:val="22"/>
          <w:u w:val="single"/>
        </w:rPr>
      </w:pPr>
      <w:r w:rsidRPr="00751065">
        <w:rPr>
          <w:rFonts w:ascii="Times New Roman" w:hAnsi="Times New Roman"/>
          <w:i/>
          <w:sz w:val="22"/>
          <w:szCs w:val="22"/>
          <w:u w:val="single"/>
        </w:rPr>
        <w:t xml:space="preserve">For inter-band carrier aggregation, with or without MIMO or TX diversity, TAE shall not exceed 1.3 </w:t>
      </w:r>
      <w:proofErr w:type="spellStart"/>
      <w:r w:rsidRPr="00751065">
        <w:rPr>
          <w:rFonts w:ascii="Times New Roman" w:hAnsi="Times New Roman"/>
          <w:i/>
          <w:sz w:val="22"/>
          <w:szCs w:val="22"/>
          <w:u w:val="single"/>
        </w:rPr>
        <w:t>μs</w:t>
      </w:r>
      <w:proofErr w:type="spellEnd"/>
      <w:r w:rsidRPr="00751065">
        <w:rPr>
          <w:rFonts w:ascii="Times New Roman" w:hAnsi="Times New Roman"/>
          <w:i/>
          <w:sz w:val="22"/>
          <w:szCs w:val="22"/>
          <w:u w:val="single"/>
        </w:rPr>
        <w:t>.</w:t>
      </w:r>
    </w:p>
    <w:p w:rsidR="005E4A7B" w:rsidRPr="005E4A7B" w:rsidRDefault="005E4A7B" w:rsidP="004C099D">
      <w:pPr>
        <w:rPr>
          <w:rFonts w:ascii="Times New Roman" w:hAnsi="Times New Roman"/>
          <w:sz w:val="20"/>
          <w:szCs w:val="20"/>
        </w:rPr>
      </w:pPr>
    </w:p>
    <w:p w:rsidR="0034088E" w:rsidRDefault="00623F2B" w:rsidP="004C099D">
      <w:pPr>
        <w:rPr>
          <w:rFonts w:ascii="Times New Roman" w:hAnsi="Times New Roman"/>
          <w:sz w:val="20"/>
          <w:szCs w:val="20"/>
        </w:rPr>
      </w:pPr>
      <w:r>
        <w:rPr>
          <w:rFonts w:ascii="Times New Roman" w:hAnsi="Times New Roman"/>
          <w:sz w:val="20"/>
          <w:szCs w:val="20"/>
        </w:rPr>
        <w:t xml:space="preserve">It has been clearly defined that &lt;65ns (~2Ts) TAE for intra-frequency cases and &lt;260ns (~8Ts) for inter-frequency but inter-band. In case of inter-band scenarios, TAE between </w:t>
      </w:r>
      <w:proofErr w:type="spellStart"/>
      <w:r>
        <w:rPr>
          <w:rFonts w:ascii="Times New Roman" w:hAnsi="Times New Roman"/>
          <w:sz w:val="20"/>
          <w:szCs w:val="20"/>
        </w:rPr>
        <w:t>eNB</w:t>
      </w:r>
      <w:proofErr w:type="spellEnd"/>
      <w:r>
        <w:rPr>
          <w:rFonts w:ascii="Times New Roman" w:hAnsi="Times New Roman"/>
          <w:sz w:val="20"/>
          <w:szCs w:val="20"/>
        </w:rPr>
        <w:t xml:space="preserve"> can be as large as 1.3us (~39Ts). Obviously, the reported RSTD by UE includes not only the receive time difference due to different </w:t>
      </w:r>
      <w:r w:rsidR="00C97667">
        <w:rPr>
          <w:rFonts w:ascii="Times New Roman" w:hAnsi="Times New Roman"/>
          <w:sz w:val="20"/>
          <w:szCs w:val="20"/>
        </w:rPr>
        <w:t>propagation</w:t>
      </w:r>
      <w:r>
        <w:rPr>
          <w:rFonts w:ascii="Times New Roman" w:hAnsi="Times New Roman"/>
          <w:sz w:val="20"/>
          <w:szCs w:val="20"/>
        </w:rPr>
        <w:t xml:space="preserve"> delay between the reference and measured </w:t>
      </w:r>
      <w:proofErr w:type="spellStart"/>
      <w:r>
        <w:rPr>
          <w:rFonts w:ascii="Times New Roman" w:hAnsi="Times New Roman"/>
          <w:sz w:val="20"/>
          <w:szCs w:val="20"/>
        </w:rPr>
        <w:t>eNBs</w:t>
      </w:r>
      <w:proofErr w:type="spellEnd"/>
      <w:r>
        <w:rPr>
          <w:rFonts w:ascii="Times New Roman" w:hAnsi="Times New Roman"/>
          <w:sz w:val="20"/>
          <w:szCs w:val="20"/>
        </w:rPr>
        <w:t xml:space="preserve">, but also the TAE between the reference and measured </w:t>
      </w:r>
      <w:proofErr w:type="spellStart"/>
      <w:r>
        <w:rPr>
          <w:rFonts w:ascii="Times New Roman" w:hAnsi="Times New Roman"/>
          <w:sz w:val="20"/>
          <w:szCs w:val="20"/>
        </w:rPr>
        <w:t>eNBs</w:t>
      </w:r>
      <w:proofErr w:type="spellEnd"/>
      <w:r>
        <w:rPr>
          <w:rFonts w:ascii="Times New Roman" w:hAnsi="Times New Roman"/>
          <w:sz w:val="20"/>
          <w:szCs w:val="20"/>
        </w:rPr>
        <w:t xml:space="preserve">. Since TAE is unknown at </w:t>
      </w:r>
      <w:proofErr w:type="spellStart"/>
      <w:r>
        <w:rPr>
          <w:rFonts w:ascii="Times New Roman" w:hAnsi="Times New Roman"/>
          <w:sz w:val="20"/>
          <w:szCs w:val="20"/>
        </w:rPr>
        <w:t>eNB</w:t>
      </w:r>
      <w:proofErr w:type="spellEnd"/>
      <w:r>
        <w:rPr>
          <w:rFonts w:ascii="Times New Roman" w:hAnsi="Times New Roman"/>
          <w:sz w:val="20"/>
          <w:szCs w:val="20"/>
        </w:rPr>
        <w:t xml:space="preserve"> and LPP server, TAE and real RSTD cannot be distinguished in </w:t>
      </w:r>
      <w:r w:rsidR="00C97667">
        <w:rPr>
          <w:rFonts w:ascii="Times New Roman" w:hAnsi="Times New Roman"/>
          <w:sz w:val="20"/>
          <w:szCs w:val="20"/>
        </w:rPr>
        <w:t>positioning server</w:t>
      </w:r>
      <w:r>
        <w:rPr>
          <w:rFonts w:ascii="Times New Roman" w:hAnsi="Times New Roman"/>
          <w:sz w:val="20"/>
          <w:szCs w:val="20"/>
        </w:rPr>
        <w:t xml:space="preserve">. </w:t>
      </w:r>
      <w:r w:rsidR="0034088E">
        <w:rPr>
          <w:rFonts w:ascii="Times New Roman" w:hAnsi="Times New Roman"/>
          <w:sz w:val="20"/>
          <w:szCs w:val="20"/>
        </w:rPr>
        <w:t xml:space="preserve">The aforementioned TAE requirements should be based on the assumption that GPS is equipped. Therefore, it is supposed to be even more challenging for indoor </w:t>
      </w:r>
      <w:proofErr w:type="spellStart"/>
      <w:r w:rsidR="0034088E">
        <w:rPr>
          <w:rFonts w:ascii="Times New Roman" w:hAnsi="Times New Roman"/>
          <w:sz w:val="20"/>
          <w:szCs w:val="20"/>
        </w:rPr>
        <w:t>eNB</w:t>
      </w:r>
      <w:proofErr w:type="spellEnd"/>
      <w:r w:rsidR="0034088E">
        <w:rPr>
          <w:rFonts w:ascii="Times New Roman" w:hAnsi="Times New Roman"/>
          <w:sz w:val="20"/>
          <w:szCs w:val="20"/>
        </w:rPr>
        <w:t xml:space="preserve"> to maintain this level of TAE. </w:t>
      </w:r>
    </w:p>
    <w:p w:rsidR="0034088E" w:rsidRDefault="0034088E" w:rsidP="004C099D">
      <w:pPr>
        <w:rPr>
          <w:rFonts w:ascii="Times New Roman" w:hAnsi="Times New Roman"/>
          <w:sz w:val="20"/>
          <w:szCs w:val="20"/>
        </w:rPr>
      </w:pPr>
    </w:p>
    <w:p w:rsidR="00623F2B" w:rsidRDefault="0034088E" w:rsidP="004C099D">
      <w:pPr>
        <w:rPr>
          <w:rFonts w:ascii="Times New Roman" w:hAnsi="Times New Roman"/>
          <w:sz w:val="20"/>
          <w:szCs w:val="20"/>
        </w:rPr>
      </w:pPr>
      <w:r>
        <w:rPr>
          <w:rFonts w:ascii="Times New Roman" w:hAnsi="Times New Roman"/>
          <w:sz w:val="20"/>
          <w:szCs w:val="20"/>
        </w:rPr>
        <w:t xml:space="preserve">To understand better on </w:t>
      </w:r>
      <w:r w:rsidR="00623F2B">
        <w:rPr>
          <w:rFonts w:ascii="Times New Roman" w:hAnsi="Times New Roman"/>
          <w:sz w:val="20"/>
          <w:szCs w:val="20"/>
        </w:rPr>
        <w:t>the reported RSTD</w:t>
      </w:r>
      <w:r>
        <w:rPr>
          <w:rFonts w:ascii="Times New Roman" w:hAnsi="Times New Roman"/>
          <w:sz w:val="20"/>
          <w:szCs w:val="20"/>
        </w:rPr>
        <w:t>, it</w:t>
      </w:r>
      <w:r w:rsidR="00623F2B">
        <w:rPr>
          <w:rFonts w:ascii="Times New Roman" w:hAnsi="Times New Roman"/>
          <w:sz w:val="20"/>
          <w:szCs w:val="20"/>
        </w:rPr>
        <w:t xml:space="preserve"> can be </w:t>
      </w:r>
      <w:r w:rsidR="003110E9">
        <w:rPr>
          <w:rFonts w:ascii="Times New Roman" w:hAnsi="Times New Roman"/>
          <w:sz w:val="20"/>
          <w:szCs w:val="20"/>
        </w:rPr>
        <w:t>represented as follow</w:t>
      </w:r>
    </w:p>
    <w:p w:rsidR="003110E9" w:rsidRDefault="003110E9" w:rsidP="004C099D">
      <w:pPr>
        <w:rPr>
          <w:rFonts w:ascii="Times New Roman" w:hAnsi="Times New Roman"/>
          <w:sz w:val="20"/>
          <w:szCs w:val="20"/>
        </w:rPr>
      </w:pPr>
    </w:p>
    <w:p w:rsidR="003110E9" w:rsidRPr="002A3159" w:rsidRDefault="003110E9" w:rsidP="004C099D">
      <w:pPr>
        <w:rPr>
          <w:rFonts w:ascii="Times New Roman" w:hAnsi="Times New Roman"/>
          <w:sz w:val="20"/>
          <w:szCs w:val="20"/>
        </w:rPr>
      </w:pPr>
      <m:oMathPara>
        <m:oMathParaPr>
          <m:jc m:val="left"/>
        </m:oMathParaPr>
        <m:oMath>
          <m:sSub>
            <m:sSubPr>
              <m:ctrlPr>
                <w:rPr>
                  <w:rFonts w:ascii="Cambria Math" w:hAnsi="Cambria Math"/>
                  <w:i/>
                  <w:sz w:val="20"/>
                  <w:szCs w:val="20"/>
                </w:rPr>
              </m:ctrlPr>
            </m:sSubPr>
            <m:e>
              <m:r>
                <w:rPr>
                  <w:rFonts w:ascii="Cambria Math" w:hAnsi="Cambria Math"/>
                  <w:sz w:val="20"/>
                  <w:szCs w:val="20"/>
                </w:rPr>
                <m:t>RSTD</m:t>
              </m:r>
            </m:e>
            <m:sub>
              <m:r>
                <w:rPr>
                  <w:rFonts w:ascii="Cambria Math" w:hAnsi="Cambria Math"/>
                  <w:sz w:val="20"/>
                  <w:szCs w:val="20"/>
                </w:rPr>
                <m:t>reported</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RSTD</m:t>
              </m:r>
            </m:e>
            <m:sub>
              <m:r>
                <w:rPr>
                  <w:rFonts w:ascii="Cambria Math" w:hAnsi="Cambria Math"/>
                  <w:sz w:val="20"/>
                  <w:szCs w:val="20"/>
                </w:rPr>
                <m:t>geni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est</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quanti</m:t>
              </m:r>
            </m:sub>
          </m:sSub>
          <m:r>
            <w:rPr>
              <w:rFonts w:ascii="Cambria Math" w:hAnsi="Cambria Math"/>
              <w:sz w:val="20"/>
              <w:szCs w:val="20"/>
            </w:rPr>
            <m:t>+</m:t>
          </m:r>
          <m:r>
            <w:rPr>
              <w:rFonts w:ascii="Cambria Math" w:hAnsi="Cambria Math"/>
              <w:sz w:val="20"/>
              <w:szCs w:val="20"/>
            </w:rPr>
            <m:t>TAE</m:t>
          </m:r>
        </m:oMath>
      </m:oMathPara>
    </w:p>
    <w:p w:rsidR="002A3159" w:rsidRPr="003110E9" w:rsidRDefault="002A3159" w:rsidP="004C099D">
      <w:pPr>
        <w:rPr>
          <w:rFonts w:ascii="Times New Roman" w:hAnsi="Times New Roman"/>
          <w:sz w:val="20"/>
          <w:szCs w:val="20"/>
        </w:rPr>
      </w:pPr>
    </w:p>
    <w:p w:rsidR="003110E9" w:rsidRPr="00BC64F9" w:rsidRDefault="002A3159" w:rsidP="00BC64F9">
      <w:pPr>
        <w:pStyle w:val="ListParagraph"/>
        <w:numPr>
          <w:ilvl w:val="0"/>
          <w:numId w:val="33"/>
        </w:numPr>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RSTD</m:t>
            </m:r>
          </m:e>
          <m:sub>
            <m:r>
              <w:rPr>
                <w:rFonts w:ascii="Cambria Math" w:hAnsi="Cambria Math"/>
                <w:sz w:val="20"/>
                <w:szCs w:val="20"/>
              </w:rPr>
              <m:t>geni</m:t>
            </m:r>
          </m:sub>
        </m:sSub>
        <m:r>
          <w:rPr>
            <w:rFonts w:ascii="Cambria Math" w:hAnsi="Cambria Math"/>
            <w:sz w:val="20"/>
            <w:szCs w:val="20"/>
          </w:rPr>
          <m:t>:RSTD purly due to the propogation delay difference</m:t>
        </m:r>
      </m:oMath>
    </w:p>
    <w:p w:rsidR="002A3159" w:rsidRPr="00BC64F9" w:rsidRDefault="002A3159" w:rsidP="00BC64F9">
      <w:pPr>
        <w:pStyle w:val="ListParagraph"/>
        <w:numPr>
          <w:ilvl w:val="0"/>
          <w:numId w:val="33"/>
        </w:numPr>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est</m:t>
            </m:r>
          </m:sub>
        </m:sSub>
        <m:r>
          <w:rPr>
            <w:rFonts w:ascii="Cambria Math" w:hAnsi="Cambria Math"/>
            <w:sz w:val="20"/>
            <w:szCs w:val="20"/>
          </w:rPr>
          <m:t>:RSTD estimation error at UE</m:t>
        </m:r>
      </m:oMath>
      <w:r w:rsidR="00BC64F9">
        <w:rPr>
          <w:rFonts w:ascii="Times New Roman" w:hAnsi="Times New Roman"/>
          <w:sz w:val="20"/>
          <w:szCs w:val="20"/>
        </w:rPr>
        <w:t xml:space="preserve"> (within +/- 4Ts when the measurement BW&gt;15MHz)</w:t>
      </w:r>
    </w:p>
    <w:p w:rsidR="00BC64F9" w:rsidRPr="00BC64F9" w:rsidRDefault="00BC64F9" w:rsidP="00BC64F9">
      <w:pPr>
        <w:pStyle w:val="ListParagraph"/>
        <w:numPr>
          <w:ilvl w:val="0"/>
          <w:numId w:val="33"/>
        </w:numPr>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quanti</m:t>
            </m:r>
          </m:sub>
        </m:sSub>
        <m:r>
          <w:rPr>
            <w:rFonts w:ascii="Cambria Math" w:hAnsi="Cambria Math"/>
            <w:sz w:val="20"/>
            <w:szCs w:val="20"/>
          </w:rPr>
          <m:t>:</m:t>
        </m:r>
        <m:r>
          <w:rPr>
            <w:rFonts w:ascii="Cambria Math" w:hAnsi="Cambria Math"/>
            <w:sz w:val="20"/>
            <w:szCs w:val="20"/>
          </w:rPr>
          <m:t xml:space="preserve">quantization error due to discrete </m:t>
        </m:r>
        <m:r>
          <w:rPr>
            <w:rFonts w:ascii="Cambria Math" w:hAnsi="Cambria Math"/>
            <w:sz w:val="20"/>
            <w:szCs w:val="20"/>
          </w:rPr>
          <m:t xml:space="preserve">RSTD </m:t>
        </m:r>
        <m:r>
          <w:rPr>
            <w:rFonts w:ascii="Cambria Math" w:hAnsi="Cambria Math"/>
            <w:sz w:val="20"/>
            <w:szCs w:val="20"/>
          </w:rPr>
          <m:t>report mapping</m:t>
        </m:r>
      </m:oMath>
      <w:r>
        <w:rPr>
          <w:rFonts w:ascii="Times New Roman" w:hAnsi="Times New Roman"/>
          <w:sz w:val="20"/>
          <w:szCs w:val="20"/>
        </w:rPr>
        <w:t xml:space="preserve"> (&lt;0.5Ts based on existing report mapping)</w:t>
      </w:r>
    </w:p>
    <w:p w:rsidR="00BC64F9" w:rsidRPr="00BC64F9" w:rsidRDefault="00BC64F9" w:rsidP="00BC64F9">
      <w:pPr>
        <w:pStyle w:val="ListParagraph"/>
        <w:numPr>
          <w:ilvl w:val="0"/>
          <w:numId w:val="33"/>
        </w:numPr>
        <w:rPr>
          <w:rFonts w:ascii="Times New Roman" w:hAnsi="Times New Roman"/>
          <w:sz w:val="20"/>
          <w:szCs w:val="20"/>
        </w:rPr>
      </w:pPr>
      <m:oMath>
        <m:r>
          <w:rPr>
            <w:rFonts w:ascii="Cambria Math" w:hAnsi="Cambria Math"/>
            <w:sz w:val="20"/>
            <w:szCs w:val="20"/>
          </w:rPr>
          <m:t>TAE:time alignment error between the reference and measured eNBs</m:t>
        </m:r>
      </m:oMath>
      <w:r w:rsidR="0034088E">
        <w:rPr>
          <w:rFonts w:ascii="Times New Roman" w:hAnsi="Times New Roman"/>
          <w:sz w:val="20"/>
          <w:szCs w:val="20"/>
        </w:rPr>
        <w:t xml:space="preserve"> (&lt;2Ts for intra-</w:t>
      </w:r>
      <w:proofErr w:type="spellStart"/>
      <w:r w:rsidR="0034088E">
        <w:rPr>
          <w:rFonts w:ascii="Times New Roman" w:hAnsi="Times New Roman"/>
          <w:sz w:val="20"/>
          <w:szCs w:val="20"/>
        </w:rPr>
        <w:t>freq</w:t>
      </w:r>
      <w:proofErr w:type="spellEnd"/>
      <w:r w:rsidR="0034088E">
        <w:rPr>
          <w:rFonts w:ascii="Times New Roman" w:hAnsi="Times New Roman"/>
          <w:sz w:val="20"/>
          <w:szCs w:val="20"/>
        </w:rPr>
        <w:t>, &lt;8Ts for inter-</w:t>
      </w:r>
      <w:proofErr w:type="spellStart"/>
      <w:r w:rsidR="0034088E">
        <w:rPr>
          <w:rFonts w:ascii="Times New Roman" w:hAnsi="Times New Roman"/>
          <w:sz w:val="20"/>
          <w:szCs w:val="20"/>
        </w:rPr>
        <w:t>freq</w:t>
      </w:r>
      <w:proofErr w:type="spellEnd"/>
      <w:r w:rsidR="0034088E">
        <w:rPr>
          <w:rFonts w:ascii="Times New Roman" w:hAnsi="Times New Roman"/>
          <w:sz w:val="20"/>
          <w:szCs w:val="20"/>
        </w:rPr>
        <w:t xml:space="preserve">/intra-band), &lt;39Ts for </w:t>
      </w:r>
      <w:proofErr w:type="spellStart"/>
      <w:r w:rsidR="0034088E">
        <w:rPr>
          <w:rFonts w:ascii="Times New Roman" w:hAnsi="Times New Roman"/>
          <w:sz w:val="20"/>
          <w:szCs w:val="20"/>
        </w:rPr>
        <w:t>intre</w:t>
      </w:r>
      <w:proofErr w:type="spellEnd"/>
      <w:r w:rsidR="0034088E">
        <w:rPr>
          <w:rFonts w:ascii="Times New Roman" w:hAnsi="Times New Roman"/>
          <w:sz w:val="20"/>
          <w:szCs w:val="20"/>
        </w:rPr>
        <w:t>-band)</w:t>
      </w:r>
    </w:p>
    <w:p w:rsidR="002A3159" w:rsidRPr="003110E9" w:rsidRDefault="002A3159" w:rsidP="004C099D">
      <w:pPr>
        <w:rPr>
          <w:rFonts w:ascii="Times New Roman" w:hAnsi="Times New Roman"/>
          <w:sz w:val="20"/>
          <w:szCs w:val="20"/>
        </w:rPr>
      </w:pPr>
    </w:p>
    <w:p w:rsidR="0034088E" w:rsidRDefault="0034088E" w:rsidP="004C099D">
      <w:pPr>
        <w:rPr>
          <w:rFonts w:ascii="Times New Roman" w:hAnsi="Times New Roman"/>
          <w:sz w:val="20"/>
          <w:szCs w:val="20"/>
        </w:rPr>
      </w:pPr>
      <w:r>
        <w:rPr>
          <w:rFonts w:ascii="Times New Roman" w:hAnsi="Times New Roman"/>
          <w:sz w:val="20"/>
          <w:szCs w:val="20"/>
        </w:rPr>
        <w:t xml:space="preserve">Obviously, the existing RSTD minimum requirement with wideband and TAE requirements are much larger than the quantization error due to the existing report mapping. </w:t>
      </w:r>
      <w:r w:rsidR="00A4088D">
        <w:rPr>
          <w:rFonts w:ascii="Times New Roman" w:hAnsi="Times New Roman"/>
          <w:sz w:val="20"/>
          <w:szCs w:val="20"/>
        </w:rPr>
        <w:t>Intuitively, t</w:t>
      </w:r>
      <w:r>
        <w:rPr>
          <w:rFonts w:ascii="Times New Roman" w:hAnsi="Times New Roman"/>
          <w:sz w:val="20"/>
          <w:szCs w:val="20"/>
        </w:rPr>
        <w:t xml:space="preserve">he RSTD report mapping should not </w:t>
      </w:r>
      <w:r w:rsidR="00A4088D">
        <w:rPr>
          <w:rFonts w:ascii="Times New Roman" w:hAnsi="Times New Roman"/>
          <w:sz w:val="20"/>
          <w:szCs w:val="20"/>
        </w:rPr>
        <w:t xml:space="preserve">be </w:t>
      </w:r>
      <w:r>
        <w:rPr>
          <w:rFonts w:ascii="Times New Roman" w:hAnsi="Times New Roman"/>
          <w:sz w:val="20"/>
          <w:szCs w:val="20"/>
        </w:rPr>
        <w:t xml:space="preserve">the bottleneck to limit the OTDOA performances. </w:t>
      </w:r>
    </w:p>
    <w:p w:rsidR="0034088E" w:rsidRDefault="0034088E" w:rsidP="004C099D">
      <w:pPr>
        <w:rPr>
          <w:rFonts w:ascii="Times New Roman" w:hAnsi="Times New Roman"/>
          <w:sz w:val="20"/>
          <w:szCs w:val="20"/>
        </w:rPr>
      </w:pPr>
    </w:p>
    <w:p w:rsidR="0034088E" w:rsidRDefault="0034088E" w:rsidP="004C099D">
      <w:pPr>
        <w:rPr>
          <w:rFonts w:ascii="Times New Roman" w:hAnsi="Times New Roman"/>
          <w:b/>
          <w:sz w:val="20"/>
          <w:szCs w:val="20"/>
        </w:rPr>
      </w:pPr>
      <w:r w:rsidRPr="0034088E">
        <w:rPr>
          <w:rFonts w:ascii="Times New Roman" w:hAnsi="Times New Roman"/>
          <w:b/>
          <w:sz w:val="20"/>
          <w:szCs w:val="20"/>
        </w:rPr>
        <w:t>Observation 1:</w:t>
      </w:r>
      <w:r w:rsidRPr="0034088E">
        <w:t xml:space="preserve"> </w:t>
      </w:r>
      <w:r>
        <w:rPr>
          <w:rFonts w:ascii="Times New Roman" w:hAnsi="Times New Roman"/>
          <w:b/>
          <w:sz w:val="20"/>
          <w:szCs w:val="20"/>
        </w:rPr>
        <w:t>T</w:t>
      </w:r>
      <w:r w:rsidRPr="0034088E">
        <w:rPr>
          <w:rFonts w:ascii="Times New Roman" w:hAnsi="Times New Roman"/>
          <w:b/>
          <w:sz w:val="20"/>
          <w:szCs w:val="20"/>
        </w:rPr>
        <w:t xml:space="preserve">he existing RSTD minimum requirement with wideband and TAE requirements are much larger than the quantization error due to the existing report mapping. The RSTD report mapping should not </w:t>
      </w:r>
      <w:r w:rsidR="00A4088D">
        <w:rPr>
          <w:rFonts w:ascii="Times New Roman" w:hAnsi="Times New Roman"/>
          <w:b/>
          <w:sz w:val="20"/>
          <w:szCs w:val="20"/>
        </w:rPr>
        <w:t xml:space="preserve">be </w:t>
      </w:r>
      <w:r w:rsidRPr="0034088E">
        <w:rPr>
          <w:rFonts w:ascii="Times New Roman" w:hAnsi="Times New Roman"/>
          <w:b/>
          <w:sz w:val="20"/>
          <w:szCs w:val="20"/>
        </w:rPr>
        <w:t>the bottleneck to limit the OTDOA performances.</w:t>
      </w:r>
    </w:p>
    <w:p w:rsidR="00751065" w:rsidRDefault="00751065" w:rsidP="004C099D">
      <w:pPr>
        <w:rPr>
          <w:rFonts w:ascii="Times New Roman" w:hAnsi="Times New Roman"/>
          <w:b/>
          <w:sz w:val="20"/>
          <w:szCs w:val="20"/>
        </w:rPr>
      </w:pPr>
    </w:p>
    <w:p w:rsidR="00751065" w:rsidRPr="0034088E" w:rsidRDefault="00751065" w:rsidP="004C099D">
      <w:pPr>
        <w:rPr>
          <w:rFonts w:ascii="Times New Roman" w:hAnsi="Times New Roman"/>
          <w:b/>
          <w:sz w:val="20"/>
          <w:szCs w:val="20"/>
        </w:rPr>
      </w:pPr>
      <w:r>
        <w:rPr>
          <w:rFonts w:ascii="Times New Roman" w:hAnsi="Times New Roman"/>
          <w:b/>
          <w:sz w:val="20"/>
          <w:szCs w:val="20"/>
        </w:rPr>
        <w:t xml:space="preserve">Observation 2: TAE between the measured and reference </w:t>
      </w:r>
      <w:proofErr w:type="spellStart"/>
      <w:r>
        <w:rPr>
          <w:rFonts w:ascii="Times New Roman" w:hAnsi="Times New Roman"/>
          <w:b/>
          <w:sz w:val="20"/>
          <w:szCs w:val="20"/>
        </w:rPr>
        <w:t>eNBs</w:t>
      </w:r>
      <w:proofErr w:type="spellEnd"/>
      <w:r>
        <w:rPr>
          <w:rFonts w:ascii="Times New Roman" w:hAnsi="Times New Roman"/>
          <w:b/>
          <w:sz w:val="20"/>
          <w:szCs w:val="20"/>
        </w:rPr>
        <w:t xml:space="preserve"> can impact OTDOA performances much more than other imperfection issues.</w:t>
      </w:r>
    </w:p>
    <w:p w:rsidR="005E4A7B" w:rsidRDefault="0034088E" w:rsidP="004C099D">
      <w:pPr>
        <w:rPr>
          <w:rFonts w:ascii="Times New Roman" w:hAnsi="Times New Roman"/>
          <w:sz w:val="20"/>
          <w:szCs w:val="20"/>
          <w:lang w:val="en-GB"/>
        </w:rPr>
      </w:pPr>
      <w:r>
        <w:rPr>
          <w:rFonts w:ascii="Times New Roman" w:hAnsi="Times New Roman"/>
          <w:sz w:val="20"/>
          <w:szCs w:val="20"/>
        </w:rPr>
        <w:t xml:space="preserve"> </w:t>
      </w:r>
    </w:p>
    <w:p w:rsidR="005E4A7B" w:rsidRDefault="005E4A7B" w:rsidP="004C099D">
      <w:pPr>
        <w:rPr>
          <w:rFonts w:ascii="Times New Roman" w:hAnsi="Times New Roman"/>
          <w:sz w:val="20"/>
          <w:szCs w:val="20"/>
          <w:lang w:val="en-GB"/>
        </w:rPr>
      </w:pPr>
    </w:p>
    <w:p w:rsidR="00751065" w:rsidRDefault="00751065" w:rsidP="00526F24">
      <w:pPr>
        <w:pStyle w:val="Heading1"/>
        <w:ind w:left="720" w:hanging="864"/>
      </w:pPr>
      <w:r>
        <w:t>TAE impact on OTDOA performance</w:t>
      </w:r>
    </w:p>
    <w:p w:rsidR="00F3611B" w:rsidRDefault="00751065" w:rsidP="00751065">
      <w:pPr>
        <w:rPr>
          <w:rFonts w:ascii="Times New Roman" w:hAnsi="Times New Roman"/>
          <w:sz w:val="20"/>
          <w:szCs w:val="20"/>
          <w:lang w:val="en-GB" w:eastAsia="en-US"/>
        </w:rPr>
      </w:pPr>
      <w:r w:rsidRPr="00751065">
        <w:rPr>
          <w:rFonts w:ascii="Times New Roman" w:hAnsi="Times New Roman"/>
          <w:sz w:val="20"/>
          <w:szCs w:val="20"/>
          <w:lang w:val="en-GB" w:eastAsia="en-US"/>
        </w:rPr>
        <w:t>In RAN4 SI “Feasibility of positioning enhancements for E-UTRA”</w:t>
      </w:r>
      <w:r>
        <w:rPr>
          <w:rFonts w:ascii="Times New Roman" w:hAnsi="Times New Roman"/>
          <w:sz w:val="20"/>
          <w:szCs w:val="20"/>
          <w:lang w:val="en-GB" w:eastAsia="en-US"/>
        </w:rPr>
        <w:t xml:space="preserve"> [2] and RAN1 SI “</w:t>
      </w:r>
      <w:r w:rsidRPr="00751065">
        <w:rPr>
          <w:rFonts w:ascii="Times New Roman" w:hAnsi="Times New Roman"/>
          <w:sz w:val="20"/>
          <w:szCs w:val="20"/>
          <w:lang w:val="en-GB" w:eastAsia="en-US"/>
        </w:rPr>
        <w:t>Study on indoor positioning enhancements for UTRA and LTE</w:t>
      </w:r>
      <w:r>
        <w:rPr>
          <w:rFonts w:ascii="Times New Roman" w:hAnsi="Times New Roman"/>
          <w:sz w:val="20"/>
          <w:szCs w:val="20"/>
          <w:lang w:val="en-GB" w:eastAsia="en-US"/>
        </w:rPr>
        <w:t xml:space="preserve">” [3], it has been investigated how to improve OTDOA performance. RAN4’s SI focuses more on RSTD performance under wide and narrow measurement bandwidth conditions. The system level OTDOA performance is not </w:t>
      </w:r>
      <w:r w:rsidR="00A4088D">
        <w:rPr>
          <w:rFonts w:ascii="Times New Roman" w:hAnsi="Times New Roman"/>
          <w:sz w:val="20"/>
          <w:szCs w:val="20"/>
          <w:lang w:val="en-GB" w:eastAsia="en-US"/>
        </w:rPr>
        <w:t>specifically</w:t>
      </w:r>
      <w:r>
        <w:rPr>
          <w:rFonts w:ascii="Times New Roman" w:hAnsi="Times New Roman"/>
          <w:sz w:val="20"/>
          <w:szCs w:val="20"/>
          <w:lang w:val="en-GB" w:eastAsia="en-US"/>
        </w:rPr>
        <w:t xml:space="preserve"> studied, especially with realistic TAE assumption. This is reasonable since system level OTDOA study may be out of the scope of RAN4’s concern. </w:t>
      </w:r>
      <w:r w:rsidR="00F3611B">
        <w:rPr>
          <w:rFonts w:ascii="Times New Roman" w:hAnsi="Times New Roman"/>
          <w:sz w:val="20"/>
          <w:szCs w:val="20"/>
          <w:lang w:val="en-GB" w:eastAsia="en-US"/>
        </w:rPr>
        <w:t xml:space="preserve">In </w:t>
      </w:r>
      <w:r>
        <w:rPr>
          <w:rFonts w:ascii="Times New Roman" w:hAnsi="Times New Roman"/>
          <w:sz w:val="20"/>
          <w:szCs w:val="20"/>
          <w:lang w:val="en-GB" w:eastAsia="en-US"/>
        </w:rPr>
        <w:t xml:space="preserve">RAN1’s indoor positioning SI, some </w:t>
      </w:r>
      <w:r>
        <w:rPr>
          <w:rFonts w:ascii="Times New Roman" w:hAnsi="Times New Roman"/>
          <w:sz w:val="20"/>
          <w:szCs w:val="20"/>
          <w:lang w:val="en-GB" w:eastAsia="en-US"/>
        </w:rPr>
        <w:lastRenderedPageBreak/>
        <w:t>system level OTDOA evaluat</w:t>
      </w:r>
      <w:r w:rsidR="00F3611B">
        <w:rPr>
          <w:rFonts w:ascii="Times New Roman" w:hAnsi="Times New Roman"/>
          <w:sz w:val="20"/>
          <w:szCs w:val="20"/>
          <w:lang w:val="en-GB" w:eastAsia="en-US"/>
        </w:rPr>
        <w:t xml:space="preserve">ions have been captured with zero TAE assumed. </w:t>
      </w:r>
      <w:r w:rsidR="00A4088D">
        <w:rPr>
          <w:rFonts w:ascii="Times New Roman" w:hAnsi="Times New Roman"/>
          <w:sz w:val="20"/>
          <w:szCs w:val="20"/>
          <w:lang w:val="en-GB" w:eastAsia="en-US"/>
        </w:rPr>
        <w:t>However</w:t>
      </w:r>
      <w:r w:rsidR="00F3611B">
        <w:rPr>
          <w:rFonts w:ascii="Times New Roman" w:hAnsi="Times New Roman"/>
          <w:sz w:val="20"/>
          <w:szCs w:val="20"/>
          <w:lang w:val="en-GB" w:eastAsia="en-US"/>
        </w:rPr>
        <w:t xml:space="preserve">, there is no sufficient </w:t>
      </w:r>
      <w:r w:rsidR="00A4088D">
        <w:rPr>
          <w:rFonts w:ascii="Times New Roman" w:hAnsi="Times New Roman"/>
          <w:sz w:val="20"/>
          <w:szCs w:val="20"/>
          <w:lang w:val="en-GB" w:eastAsia="en-US"/>
        </w:rPr>
        <w:t xml:space="preserve">system level </w:t>
      </w:r>
      <w:r w:rsidR="00A4088D">
        <w:rPr>
          <w:rFonts w:ascii="Times New Roman" w:hAnsi="Times New Roman"/>
          <w:sz w:val="20"/>
          <w:szCs w:val="20"/>
          <w:lang w:val="en-GB" w:eastAsia="en-US"/>
        </w:rPr>
        <w:t xml:space="preserve">OTDOA study </w:t>
      </w:r>
      <w:r w:rsidR="00F3611B">
        <w:rPr>
          <w:rFonts w:ascii="Times New Roman" w:hAnsi="Times New Roman"/>
          <w:sz w:val="20"/>
          <w:szCs w:val="20"/>
          <w:lang w:val="en-GB" w:eastAsia="en-US"/>
        </w:rPr>
        <w:t>to understand the benefit of increasing RSTD report mapping granularity. Meanwhile, the impact of TAE is not addressed either in both RAN4 and RAN1 SI.</w:t>
      </w:r>
    </w:p>
    <w:p w:rsidR="00577DBF" w:rsidRDefault="00577DBF" w:rsidP="00751065">
      <w:pPr>
        <w:rPr>
          <w:rFonts w:ascii="Times New Roman" w:hAnsi="Times New Roman"/>
          <w:sz w:val="20"/>
          <w:szCs w:val="20"/>
          <w:lang w:val="en-GB" w:eastAsia="en-US"/>
        </w:rPr>
      </w:pPr>
    </w:p>
    <w:p w:rsidR="00577DBF" w:rsidRPr="00577DBF" w:rsidRDefault="00577DBF" w:rsidP="00751065">
      <w:pPr>
        <w:rPr>
          <w:rFonts w:ascii="Times New Roman" w:hAnsi="Times New Roman"/>
          <w:b/>
          <w:sz w:val="20"/>
          <w:szCs w:val="20"/>
          <w:lang w:val="en-GB" w:eastAsia="en-US"/>
        </w:rPr>
      </w:pPr>
      <w:r w:rsidRPr="00577DBF">
        <w:rPr>
          <w:rFonts w:ascii="Times New Roman" w:hAnsi="Times New Roman"/>
          <w:b/>
          <w:sz w:val="20"/>
          <w:szCs w:val="20"/>
          <w:lang w:val="en-GB" w:eastAsia="en-US"/>
        </w:rPr>
        <w:t>Observation 3:</w:t>
      </w:r>
      <w:r>
        <w:rPr>
          <w:rFonts w:ascii="Times New Roman" w:hAnsi="Times New Roman"/>
          <w:b/>
          <w:sz w:val="20"/>
          <w:szCs w:val="20"/>
          <w:lang w:val="en-GB" w:eastAsia="en-US"/>
        </w:rPr>
        <w:t xml:space="preserve"> No system level OTDOA study with realistic TAE has been done in both RAN1 and RAN4 SI. The related gain of increasing RSTD report mapping granularity is not well justified. </w:t>
      </w:r>
    </w:p>
    <w:p w:rsidR="00F3611B" w:rsidRDefault="00F3611B" w:rsidP="00751065">
      <w:pPr>
        <w:rPr>
          <w:rFonts w:ascii="Times New Roman" w:hAnsi="Times New Roman"/>
          <w:sz w:val="20"/>
          <w:szCs w:val="20"/>
          <w:lang w:val="en-GB" w:eastAsia="en-US"/>
        </w:rPr>
      </w:pPr>
    </w:p>
    <w:p w:rsidR="00F3611B" w:rsidRDefault="00F3611B" w:rsidP="00751065">
      <w:pPr>
        <w:rPr>
          <w:rFonts w:ascii="Times New Roman" w:hAnsi="Times New Roman"/>
          <w:sz w:val="20"/>
          <w:szCs w:val="20"/>
          <w:lang w:val="en-GB" w:eastAsia="en-US"/>
        </w:rPr>
      </w:pPr>
      <w:r>
        <w:rPr>
          <w:rFonts w:ascii="Times New Roman" w:hAnsi="Times New Roman"/>
          <w:sz w:val="20"/>
          <w:szCs w:val="20"/>
          <w:lang w:val="en-GB" w:eastAsia="en-US"/>
        </w:rPr>
        <w:t>To understand the OTDOA performance with more realistic scenarios assumed, system level simulation results are provided with both increased RSTD report mapping granularity and TAE assumed.</w:t>
      </w:r>
      <w:r w:rsidR="00391FE8">
        <w:rPr>
          <w:rFonts w:ascii="Times New Roman" w:hAnsi="Times New Roman"/>
          <w:sz w:val="20"/>
          <w:szCs w:val="20"/>
          <w:lang w:val="en-GB" w:eastAsia="en-US"/>
        </w:rPr>
        <w:t xml:space="preserve"> SLS assumptions are provided in the appendix.</w:t>
      </w:r>
      <w:r w:rsidR="00A23CAF">
        <w:rPr>
          <w:rFonts w:ascii="Times New Roman" w:hAnsi="Times New Roman"/>
          <w:sz w:val="20"/>
          <w:szCs w:val="20"/>
          <w:lang w:val="en-GB" w:eastAsia="en-US"/>
        </w:rPr>
        <w:t xml:space="preserve"> Rather than using the minimum TAE requirements, a relatively optimistic 50ns and 100ns of TAE are assumed with the implementation margin considered at </w:t>
      </w:r>
      <w:proofErr w:type="spellStart"/>
      <w:r w:rsidR="00A23CAF">
        <w:rPr>
          <w:rFonts w:ascii="Times New Roman" w:hAnsi="Times New Roman"/>
          <w:sz w:val="20"/>
          <w:szCs w:val="20"/>
          <w:lang w:val="en-GB" w:eastAsia="en-US"/>
        </w:rPr>
        <w:t>eNB</w:t>
      </w:r>
      <w:proofErr w:type="spellEnd"/>
      <w:r w:rsidR="00A23CAF">
        <w:rPr>
          <w:rFonts w:ascii="Times New Roman" w:hAnsi="Times New Roman"/>
          <w:sz w:val="20"/>
          <w:szCs w:val="20"/>
          <w:lang w:val="en-GB" w:eastAsia="en-US"/>
        </w:rPr>
        <w:t xml:space="preserve">. In the legend of Figure 1, “Indoor 0.5, 50” represents the scenario with minimum RSTD report mapping granularity of 0.5Ts and TAE&lt;50ns. </w:t>
      </w:r>
    </w:p>
    <w:p w:rsidR="00F3611B" w:rsidRDefault="00F3611B" w:rsidP="00751065">
      <w:pPr>
        <w:rPr>
          <w:rFonts w:ascii="Times New Roman" w:hAnsi="Times New Roman"/>
          <w:sz w:val="20"/>
          <w:szCs w:val="20"/>
          <w:lang w:val="en-GB" w:eastAsia="en-US"/>
        </w:rPr>
      </w:pPr>
    </w:p>
    <w:p w:rsidR="00751065" w:rsidRDefault="00A23CAF" w:rsidP="00751065">
      <w:pPr>
        <w:rPr>
          <w:rFonts w:ascii="Times New Roman" w:hAnsi="Times New Roman"/>
          <w:sz w:val="20"/>
          <w:szCs w:val="20"/>
          <w:lang w:val="en-GB" w:eastAsia="en-US"/>
        </w:rPr>
      </w:pPr>
      <w:r>
        <w:rPr>
          <w:noProof/>
          <w:color w:val="000000"/>
          <w:lang w:eastAsia="zh-CN"/>
        </w:rPr>
        <w:drawing>
          <wp:inline distT="0" distB="0" distL="0" distR="0">
            <wp:extent cx="5410200" cy="3779520"/>
            <wp:effectExtent l="0" t="0" r="0" b="0"/>
            <wp:docPr id="11" name="Picture 11" descr="cid:image003.png@01D11557.34C4B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D11557.34C4B62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5410200" cy="3779520"/>
                    </a:xfrm>
                    <a:prstGeom prst="rect">
                      <a:avLst/>
                    </a:prstGeom>
                    <a:noFill/>
                    <a:ln>
                      <a:noFill/>
                    </a:ln>
                  </pic:spPr>
                </pic:pic>
              </a:graphicData>
            </a:graphic>
          </wp:inline>
        </w:drawing>
      </w:r>
      <w:r w:rsidR="00751065">
        <w:rPr>
          <w:rFonts w:ascii="Times New Roman" w:hAnsi="Times New Roman"/>
          <w:sz w:val="20"/>
          <w:szCs w:val="20"/>
          <w:lang w:val="en-GB" w:eastAsia="en-US"/>
        </w:rPr>
        <w:t xml:space="preserve">  </w:t>
      </w:r>
    </w:p>
    <w:p w:rsidR="00A23CAF" w:rsidRDefault="00A23CAF" w:rsidP="00751065">
      <w:pPr>
        <w:rPr>
          <w:rFonts w:ascii="Times New Roman" w:hAnsi="Times New Roman"/>
          <w:sz w:val="20"/>
          <w:szCs w:val="20"/>
          <w:lang w:val="en-GB" w:eastAsia="en-US"/>
        </w:rPr>
      </w:pPr>
      <w:r>
        <w:rPr>
          <w:rFonts w:ascii="Times New Roman" w:hAnsi="Times New Roman"/>
          <w:sz w:val="20"/>
          <w:szCs w:val="20"/>
          <w:lang w:val="en-GB" w:eastAsia="en-US"/>
        </w:rPr>
        <w:t xml:space="preserve">When zero TAE is assumed, the gain due to finer the RSTD report mapping from 1Ts to 0.5Ts is around </w:t>
      </w:r>
      <w:r w:rsidR="00A4088D">
        <w:rPr>
          <w:rFonts w:ascii="Times New Roman" w:hAnsi="Times New Roman"/>
          <w:sz w:val="20"/>
          <w:szCs w:val="20"/>
          <w:lang w:val="en-GB" w:eastAsia="en-US"/>
        </w:rPr>
        <w:t xml:space="preserve">1 and </w:t>
      </w:r>
      <w:r>
        <w:rPr>
          <w:rFonts w:ascii="Times New Roman" w:hAnsi="Times New Roman"/>
          <w:sz w:val="20"/>
          <w:szCs w:val="20"/>
          <w:lang w:val="en-GB" w:eastAsia="en-US"/>
        </w:rPr>
        <w:t>2 meters at eighty and fifty percentile</w:t>
      </w:r>
      <w:r w:rsidR="00A4088D">
        <w:rPr>
          <w:rFonts w:ascii="Times New Roman" w:hAnsi="Times New Roman"/>
          <w:sz w:val="20"/>
          <w:szCs w:val="20"/>
          <w:lang w:val="en-GB" w:eastAsia="en-US"/>
        </w:rPr>
        <w:t>s, respectively</w:t>
      </w:r>
      <w:r>
        <w:rPr>
          <w:rFonts w:ascii="Times New Roman" w:hAnsi="Times New Roman"/>
          <w:sz w:val="20"/>
          <w:szCs w:val="20"/>
          <w:lang w:val="en-GB" w:eastAsia="en-US"/>
        </w:rPr>
        <w:t xml:space="preserve">. When a quite mild TAE of 50ns is assumed, the gap between 1Ts and 0.5Ts RSTD report mapping granularity becomes very trivial and </w:t>
      </w:r>
      <w:r w:rsidR="007942C4">
        <w:rPr>
          <w:rFonts w:ascii="Times New Roman" w:hAnsi="Times New Roman"/>
          <w:sz w:val="20"/>
          <w:szCs w:val="20"/>
          <w:lang w:val="en-GB" w:eastAsia="en-US"/>
        </w:rPr>
        <w:t>can be neglected</w:t>
      </w:r>
      <w:r>
        <w:rPr>
          <w:rFonts w:ascii="Times New Roman" w:hAnsi="Times New Roman"/>
          <w:sz w:val="20"/>
          <w:szCs w:val="20"/>
          <w:lang w:val="en-GB" w:eastAsia="en-US"/>
        </w:rPr>
        <w:t>.</w:t>
      </w:r>
      <w:r w:rsidR="007942C4">
        <w:rPr>
          <w:rFonts w:ascii="Times New Roman" w:hAnsi="Times New Roman"/>
          <w:sz w:val="20"/>
          <w:szCs w:val="20"/>
          <w:lang w:val="en-GB" w:eastAsia="en-US"/>
        </w:rPr>
        <w:t xml:space="preserve"> When TAE is increased to 150ns which is still less than the minimum TAE requirement for intra-band continuous CA cases, the OTDOA performance becomes identical</w:t>
      </w:r>
      <w:r>
        <w:rPr>
          <w:rFonts w:ascii="Times New Roman" w:hAnsi="Times New Roman"/>
          <w:sz w:val="20"/>
          <w:szCs w:val="20"/>
          <w:lang w:val="en-GB" w:eastAsia="en-US"/>
        </w:rPr>
        <w:t xml:space="preserve"> </w:t>
      </w:r>
      <w:r w:rsidR="007942C4">
        <w:rPr>
          <w:rFonts w:ascii="Times New Roman" w:hAnsi="Times New Roman"/>
          <w:sz w:val="20"/>
          <w:szCs w:val="20"/>
          <w:lang w:val="en-GB" w:eastAsia="en-US"/>
        </w:rPr>
        <w:t>with</w:t>
      </w:r>
      <w:r w:rsidR="007942C4">
        <w:rPr>
          <w:rFonts w:ascii="Times New Roman" w:hAnsi="Times New Roman"/>
          <w:sz w:val="20"/>
          <w:szCs w:val="20"/>
          <w:lang w:val="en-GB" w:eastAsia="en-US"/>
        </w:rPr>
        <w:t>1Ts and 0.5Ts RSTD report mapping granularity</w:t>
      </w:r>
      <w:r w:rsidR="007942C4">
        <w:rPr>
          <w:rFonts w:ascii="Times New Roman" w:hAnsi="Times New Roman"/>
          <w:sz w:val="20"/>
          <w:szCs w:val="20"/>
          <w:lang w:val="en-GB" w:eastAsia="en-US"/>
        </w:rPr>
        <w:t>.</w:t>
      </w:r>
    </w:p>
    <w:p w:rsidR="007942C4" w:rsidRDefault="007942C4" w:rsidP="00751065">
      <w:pPr>
        <w:rPr>
          <w:rFonts w:ascii="Times New Roman" w:hAnsi="Times New Roman"/>
          <w:sz w:val="20"/>
          <w:szCs w:val="20"/>
          <w:lang w:val="en-GB" w:eastAsia="en-US"/>
        </w:rPr>
      </w:pPr>
    </w:p>
    <w:p w:rsidR="007942C4" w:rsidRDefault="007942C4" w:rsidP="00751065">
      <w:pPr>
        <w:rPr>
          <w:rFonts w:ascii="Times New Roman" w:hAnsi="Times New Roman"/>
          <w:b/>
          <w:sz w:val="20"/>
          <w:szCs w:val="20"/>
          <w:lang w:val="en-GB" w:eastAsia="en-US"/>
        </w:rPr>
      </w:pPr>
      <w:r w:rsidRPr="007942C4">
        <w:rPr>
          <w:rFonts w:ascii="Times New Roman" w:hAnsi="Times New Roman"/>
          <w:b/>
          <w:sz w:val="20"/>
          <w:szCs w:val="20"/>
          <w:lang w:val="en-GB" w:eastAsia="en-US"/>
        </w:rPr>
        <w:t xml:space="preserve">Observation </w:t>
      </w:r>
      <w:r w:rsidR="00577DBF">
        <w:rPr>
          <w:rFonts w:ascii="Times New Roman" w:hAnsi="Times New Roman"/>
          <w:b/>
          <w:sz w:val="20"/>
          <w:szCs w:val="20"/>
          <w:lang w:val="en-GB" w:eastAsia="en-US"/>
        </w:rPr>
        <w:t>4</w:t>
      </w:r>
      <w:r w:rsidRPr="007942C4">
        <w:rPr>
          <w:rFonts w:ascii="Times New Roman" w:hAnsi="Times New Roman"/>
          <w:b/>
          <w:sz w:val="20"/>
          <w:szCs w:val="20"/>
          <w:lang w:val="en-GB" w:eastAsia="en-US"/>
        </w:rPr>
        <w:t>:</w:t>
      </w:r>
      <w:r>
        <w:rPr>
          <w:rFonts w:ascii="Times New Roman" w:hAnsi="Times New Roman"/>
          <w:b/>
          <w:sz w:val="20"/>
          <w:szCs w:val="20"/>
          <w:lang w:val="en-GB" w:eastAsia="en-US"/>
        </w:rPr>
        <w:t xml:space="preserve"> With quite mild TAE</w:t>
      </w:r>
      <w:r w:rsidR="00577DBF" w:rsidRPr="00577DBF">
        <w:rPr>
          <w:rFonts w:ascii="Times New Roman" w:hAnsi="Times New Roman"/>
          <w:b/>
          <w:sz w:val="20"/>
          <w:szCs w:val="20"/>
          <w:lang w:val="en-GB" w:eastAsia="en-US"/>
        </w:rPr>
        <w:t xml:space="preserve"> </w:t>
      </w:r>
      <w:r w:rsidR="00577DBF">
        <w:rPr>
          <w:rFonts w:ascii="Times New Roman" w:hAnsi="Times New Roman"/>
          <w:b/>
          <w:sz w:val="20"/>
          <w:szCs w:val="20"/>
          <w:lang w:val="en-GB" w:eastAsia="en-US"/>
        </w:rPr>
        <w:t>assumed</w:t>
      </w:r>
      <w:r>
        <w:rPr>
          <w:rFonts w:ascii="Times New Roman" w:hAnsi="Times New Roman"/>
          <w:b/>
          <w:sz w:val="20"/>
          <w:szCs w:val="20"/>
          <w:lang w:val="en-GB" w:eastAsia="en-US"/>
        </w:rPr>
        <w:t>, OTDOA performance cannot be improved with increased RSTD report mapping granularity.</w:t>
      </w:r>
      <w:r w:rsidR="00577DBF">
        <w:rPr>
          <w:rFonts w:ascii="Times New Roman" w:hAnsi="Times New Roman"/>
          <w:b/>
          <w:sz w:val="20"/>
          <w:szCs w:val="20"/>
          <w:lang w:val="en-GB" w:eastAsia="en-US"/>
        </w:rPr>
        <w:t xml:space="preserve"> Even with zero TAE, the performance enhancement due to improved RSTD reporting granularity is limited.</w:t>
      </w:r>
    </w:p>
    <w:p w:rsidR="007942C4" w:rsidRDefault="007942C4" w:rsidP="00751065">
      <w:pPr>
        <w:rPr>
          <w:rFonts w:ascii="Times New Roman" w:hAnsi="Times New Roman"/>
          <w:b/>
          <w:sz w:val="20"/>
          <w:szCs w:val="20"/>
          <w:lang w:val="en-GB" w:eastAsia="en-US"/>
        </w:rPr>
      </w:pPr>
    </w:p>
    <w:p w:rsidR="007942C4" w:rsidRDefault="007942C4" w:rsidP="00751065">
      <w:pPr>
        <w:rPr>
          <w:rFonts w:ascii="Times New Roman" w:hAnsi="Times New Roman"/>
          <w:sz w:val="20"/>
          <w:szCs w:val="20"/>
          <w:lang w:val="en-GB" w:eastAsia="en-US"/>
        </w:rPr>
      </w:pPr>
      <w:r>
        <w:rPr>
          <w:rFonts w:ascii="Times New Roman" w:hAnsi="Times New Roman"/>
          <w:sz w:val="20"/>
          <w:szCs w:val="20"/>
          <w:lang w:val="en-GB" w:eastAsia="en-US"/>
        </w:rPr>
        <w:t>Meanwhile, the performance degradation due to TAE is quite significant. For example, with 0.5Ts of RSTD report granularity, &gt;10 meters of OTDOA degradation is observed when the maximum TAE is increase from 0 to 50ns. When the maximum TAE is around 150ns, it results in more than 20 meters of OTDOA degradation.</w:t>
      </w:r>
    </w:p>
    <w:p w:rsidR="007942C4" w:rsidRDefault="007942C4" w:rsidP="00751065">
      <w:pPr>
        <w:rPr>
          <w:rFonts w:ascii="Times New Roman" w:hAnsi="Times New Roman"/>
          <w:sz w:val="20"/>
          <w:szCs w:val="20"/>
          <w:lang w:val="en-GB" w:eastAsia="en-US"/>
        </w:rPr>
      </w:pPr>
    </w:p>
    <w:p w:rsidR="007942C4" w:rsidRDefault="007942C4" w:rsidP="00751065">
      <w:pPr>
        <w:rPr>
          <w:rFonts w:ascii="Times New Roman" w:hAnsi="Times New Roman"/>
          <w:b/>
          <w:sz w:val="20"/>
          <w:szCs w:val="20"/>
          <w:lang w:val="en-GB" w:eastAsia="en-US"/>
        </w:rPr>
      </w:pPr>
      <w:r w:rsidRPr="007942C4">
        <w:rPr>
          <w:rFonts w:ascii="Times New Roman" w:hAnsi="Times New Roman"/>
          <w:b/>
          <w:sz w:val="20"/>
          <w:szCs w:val="20"/>
          <w:lang w:val="en-GB" w:eastAsia="en-US"/>
        </w:rPr>
        <w:t xml:space="preserve">Observation </w:t>
      </w:r>
      <w:r w:rsidR="00577DBF">
        <w:rPr>
          <w:rFonts w:ascii="Times New Roman" w:hAnsi="Times New Roman"/>
          <w:b/>
          <w:sz w:val="20"/>
          <w:szCs w:val="20"/>
          <w:lang w:val="en-GB" w:eastAsia="en-US"/>
        </w:rPr>
        <w:t>5</w:t>
      </w:r>
      <w:r w:rsidRPr="007942C4">
        <w:rPr>
          <w:rFonts w:ascii="Times New Roman" w:hAnsi="Times New Roman"/>
          <w:b/>
          <w:sz w:val="20"/>
          <w:szCs w:val="20"/>
          <w:lang w:val="en-GB" w:eastAsia="en-US"/>
        </w:rPr>
        <w:t xml:space="preserve">: </w:t>
      </w:r>
      <w:r>
        <w:rPr>
          <w:rFonts w:ascii="Times New Roman" w:hAnsi="Times New Roman"/>
          <w:b/>
          <w:sz w:val="20"/>
          <w:szCs w:val="20"/>
          <w:lang w:val="en-GB" w:eastAsia="en-US"/>
        </w:rPr>
        <w:t xml:space="preserve">System level study shows significant OTDOA performance degradation due to </w:t>
      </w:r>
      <w:r w:rsidR="00577DBF">
        <w:rPr>
          <w:rFonts w:ascii="Times New Roman" w:hAnsi="Times New Roman"/>
          <w:b/>
          <w:sz w:val="20"/>
          <w:szCs w:val="20"/>
          <w:lang w:val="en-GB" w:eastAsia="en-US"/>
        </w:rPr>
        <w:t xml:space="preserve">coarse TAE between </w:t>
      </w:r>
      <w:proofErr w:type="spellStart"/>
      <w:r w:rsidR="00577DBF">
        <w:rPr>
          <w:rFonts w:ascii="Times New Roman" w:hAnsi="Times New Roman"/>
          <w:b/>
          <w:sz w:val="20"/>
          <w:szCs w:val="20"/>
          <w:lang w:val="en-GB" w:eastAsia="en-US"/>
        </w:rPr>
        <w:t>eNBs</w:t>
      </w:r>
      <w:proofErr w:type="spellEnd"/>
      <w:r w:rsidR="00577DBF">
        <w:rPr>
          <w:rFonts w:ascii="Times New Roman" w:hAnsi="Times New Roman"/>
          <w:b/>
          <w:sz w:val="20"/>
          <w:szCs w:val="20"/>
          <w:lang w:val="en-GB" w:eastAsia="en-US"/>
        </w:rPr>
        <w:t xml:space="preserve">. </w:t>
      </w:r>
      <w:r w:rsidR="00A4088D">
        <w:rPr>
          <w:rFonts w:ascii="Times New Roman" w:hAnsi="Times New Roman"/>
          <w:b/>
          <w:sz w:val="20"/>
          <w:szCs w:val="20"/>
          <w:lang w:val="en-GB" w:eastAsia="en-US"/>
        </w:rPr>
        <w:t xml:space="preserve">It suggests that </w:t>
      </w:r>
      <w:r>
        <w:rPr>
          <w:rFonts w:ascii="Times New Roman" w:hAnsi="Times New Roman"/>
          <w:b/>
          <w:sz w:val="20"/>
          <w:szCs w:val="20"/>
          <w:lang w:val="en-GB" w:eastAsia="en-US"/>
        </w:rPr>
        <w:t>improving TAE</w:t>
      </w:r>
      <w:r w:rsidR="00577DBF">
        <w:rPr>
          <w:rFonts w:ascii="Times New Roman" w:hAnsi="Times New Roman"/>
          <w:b/>
          <w:sz w:val="20"/>
          <w:szCs w:val="20"/>
          <w:lang w:val="en-GB" w:eastAsia="en-US"/>
        </w:rPr>
        <w:t xml:space="preserve"> requirements</w:t>
      </w:r>
      <w:r>
        <w:rPr>
          <w:rFonts w:ascii="Times New Roman" w:hAnsi="Times New Roman"/>
          <w:b/>
          <w:sz w:val="20"/>
          <w:szCs w:val="20"/>
          <w:lang w:val="en-GB" w:eastAsia="en-US"/>
        </w:rPr>
        <w:t xml:space="preserve"> should be much more effective than just refining RSTD reporting granularity</w:t>
      </w:r>
      <w:r w:rsidR="00577DBF">
        <w:rPr>
          <w:rFonts w:ascii="Times New Roman" w:hAnsi="Times New Roman"/>
          <w:b/>
          <w:sz w:val="20"/>
          <w:szCs w:val="20"/>
          <w:lang w:val="en-GB" w:eastAsia="en-US"/>
        </w:rPr>
        <w:t xml:space="preserve"> in terms of OTDOA performance enhancement</w:t>
      </w:r>
      <w:r>
        <w:rPr>
          <w:rFonts w:ascii="Times New Roman" w:hAnsi="Times New Roman"/>
          <w:b/>
          <w:sz w:val="20"/>
          <w:szCs w:val="20"/>
          <w:lang w:val="en-GB" w:eastAsia="en-US"/>
        </w:rPr>
        <w:t xml:space="preserve">. </w:t>
      </w:r>
    </w:p>
    <w:p w:rsidR="00577DBF" w:rsidRDefault="00577DBF" w:rsidP="00751065">
      <w:pPr>
        <w:rPr>
          <w:rFonts w:ascii="Times New Roman" w:hAnsi="Times New Roman"/>
          <w:b/>
          <w:sz w:val="20"/>
          <w:szCs w:val="20"/>
          <w:lang w:val="en-GB" w:eastAsia="en-US"/>
        </w:rPr>
      </w:pPr>
    </w:p>
    <w:p w:rsidR="00577DBF" w:rsidRPr="007942C4" w:rsidRDefault="00577DBF" w:rsidP="00751065">
      <w:pPr>
        <w:rPr>
          <w:rFonts w:ascii="Times New Roman" w:hAnsi="Times New Roman"/>
          <w:b/>
          <w:sz w:val="20"/>
          <w:szCs w:val="20"/>
          <w:lang w:val="en-GB" w:eastAsia="en-US"/>
        </w:rPr>
      </w:pPr>
      <w:r>
        <w:rPr>
          <w:rFonts w:ascii="Times New Roman" w:hAnsi="Times New Roman"/>
          <w:b/>
          <w:sz w:val="20"/>
          <w:szCs w:val="20"/>
          <w:lang w:val="en-GB" w:eastAsia="en-US"/>
        </w:rPr>
        <w:t>Proposal: RSTD report mapping enhancement should not be considered until the minimum requirement of TAE becomes satisfactory.</w:t>
      </w:r>
    </w:p>
    <w:p w:rsidR="00526F24" w:rsidRDefault="00526F24" w:rsidP="00526F24">
      <w:pPr>
        <w:pStyle w:val="Heading1"/>
        <w:ind w:left="720" w:hanging="864"/>
      </w:pPr>
      <w:r>
        <w:t>Conclusion</w:t>
      </w:r>
    </w:p>
    <w:p w:rsidR="00526F24" w:rsidRDefault="00526F24" w:rsidP="00526F24">
      <w:pPr>
        <w:rPr>
          <w:rFonts w:ascii="Times New Roman" w:hAnsi="Times New Roman"/>
          <w:sz w:val="20"/>
          <w:szCs w:val="20"/>
        </w:rPr>
      </w:pPr>
      <w:r w:rsidRPr="00B31130">
        <w:rPr>
          <w:rFonts w:ascii="Times New Roman" w:hAnsi="Times New Roman"/>
          <w:sz w:val="20"/>
          <w:szCs w:val="20"/>
        </w:rPr>
        <w:t xml:space="preserve">In this </w:t>
      </w:r>
      <w:r>
        <w:rPr>
          <w:rFonts w:ascii="Times New Roman" w:hAnsi="Times New Roman"/>
          <w:sz w:val="20"/>
          <w:szCs w:val="20"/>
        </w:rPr>
        <w:t xml:space="preserve">contribution, we discuss about </w:t>
      </w:r>
      <w:r w:rsidR="00577DBF">
        <w:rPr>
          <w:rFonts w:ascii="Times New Roman" w:hAnsi="Times New Roman"/>
          <w:sz w:val="20"/>
          <w:szCs w:val="20"/>
        </w:rPr>
        <w:t>OTDOA performances and the concerned issues. It is observed</w:t>
      </w:r>
    </w:p>
    <w:p w:rsidR="00577DBF" w:rsidRDefault="00577DBF" w:rsidP="00577DBF">
      <w:pPr>
        <w:rPr>
          <w:rFonts w:ascii="Times New Roman" w:hAnsi="Times New Roman"/>
          <w:b/>
          <w:sz w:val="20"/>
          <w:szCs w:val="20"/>
        </w:rPr>
      </w:pPr>
      <w:r w:rsidRPr="0034088E">
        <w:rPr>
          <w:rFonts w:ascii="Times New Roman" w:hAnsi="Times New Roman"/>
          <w:b/>
          <w:sz w:val="20"/>
          <w:szCs w:val="20"/>
        </w:rPr>
        <w:t>Observation 1:</w:t>
      </w:r>
      <w:r w:rsidRPr="0034088E">
        <w:t xml:space="preserve"> </w:t>
      </w:r>
      <w:r>
        <w:rPr>
          <w:rFonts w:ascii="Times New Roman" w:hAnsi="Times New Roman"/>
          <w:b/>
          <w:sz w:val="20"/>
          <w:szCs w:val="20"/>
        </w:rPr>
        <w:t>T</w:t>
      </w:r>
      <w:r w:rsidRPr="0034088E">
        <w:rPr>
          <w:rFonts w:ascii="Times New Roman" w:hAnsi="Times New Roman"/>
          <w:b/>
          <w:sz w:val="20"/>
          <w:szCs w:val="20"/>
        </w:rPr>
        <w:t>he existing RSTD minimum requirement with wideband and TAE requirements are much larger than the quantization error due to the existing report mapping. The RSTD report mapping should not the bottleneck to limit the OTDOA performances.</w:t>
      </w:r>
    </w:p>
    <w:p w:rsidR="00577DBF" w:rsidRDefault="00577DBF" w:rsidP="00577DBF">
      <w:pPr>
        <w:rPr>
          <w:rFonts w:ascii="Times New Roman" w:hAnsi="Times New Roman"/>
          <w:b/>
          <w:sz w:val="20"/>
          <w:szCs w:val="20"/>
        </w:rPr>
      </w:pPr>
    </w:p>
    <w:p w:rsidR="00577DBF" w:rsidRDefault="00577DBF" w:rsidP="00577DBF">
      <w:pPr>
        <w:rPr>
          <w:rFonts w:ascii="Times New Roman" w:hAnsi="Times New Roman"/>
          <w:b/>
          <w:sz w:val="20"/>
          <w:szCs w:val="20"/>
        </w:rPr>
      </w:pPr>
      <w:r>
        <w:rPr>
          <w:rFonts w:ascii="Times New Roman" w:hAnsi="Times New Roman"/>
          <w:b/>
          <w:sz w:val="20"/>
          <w:szCs w:val="20"/>
        </w:rPr>
        <w:t xml:space="preserve">Observation 2: TAE between the measured and reference </w:t>
      </w:r>
      <w:proofErr w:type="spellStart"/>
      <w:r>
        <w:rPr>
          <w:rFonts w:ascii="Times New Roman" w:hAnsi="Times New Roman"/>
          <w:b/>
          <w:sz w:val="20"/>
          <w:szCs w:val="20"/>
        </w:rPr>
        <w:t>eNBs</w:t>
      </w:r>
      <w:proofErr w:type="spellEnd"/>
      <w:r>
        <w:rPr>
          <w:rFonts w:ascii="Times New Roman" w:hAnsi="Times New Roman"/>
          <w:b/>
          <w:sz w:val="20"/>
          <w:szCs w:val="20"/>
        </w:rPr>
        <w:t xml:space="preserve"> can impact OTDOA performances much more than other imperfection issues.</w:t>
      </w:r>
    </w:p>
    <w:p w:rsidR="00577DBF" w:rsidRDefault="00577DBF" w:rsidP="00577DBF">
      <w:pPr>
        <w:rPr>
          <w:rFonts w:ascii="Times New Roman" w:hAnsi="Times New Roman"/>
          <w:b/>
          <w:sz w:val="20"/>
          <w:szCs w:val="20"/>
        </w:rPr>
      </w:pPr>
    </w:p>
    <w:p w:rsidR="00577DBF" w:rsidRPr="00577DBF" w:rsidRDefault="00577DBF" w:rsidP="00577DBF">
      <w:pPr>
        <w:rPr>
          <w:rFonts w:ascii="Times New Roman" w:hAnsi="Times New Roman"/>
          <w:b/>
          <w:sz w:val="20"/>
          <w:szCs w:val="20"/>
          <w:lang w:val="en-GB" w:eastAsia="en-US"/>
        </w:rPr>
      </w:pPr>
      <w:r w:rsidRPr="00577DBF">
        <w:rPr>
          <w:rFonts w:ascii="Times New Roman" w:hAnsi="Times New Roman"/>
          <w:b/>
          <w:sz w:val="20"/>
          <w:szCs w:val="20"/>
          <w:lang w:val="en-GB" w:eastAsia="en-US"/>
        </w:rPr>
        <w:t>Observation 3:</w:t>
      </w:r>
      <w:r>
        <w:rPr>
          <w:rFonts w:ascii="Times New Roman" w:hAnsi="Times New Roman"/>
          <w:b/>
          <w:sz w:val="20"/>
          <w:szCs w:val="20"/>
          <w:lang w:val="en-GB" w:eastAsia="en-US"/>
        </w:rPr>
        <w:t xml:space="preserve"> No system level OTDOA study with realistic TAE has</w:t>
      </w:r>
      <w:bookmarkStart w:id="2" w:name="_GoBack"/>
      <w:bookmarkEnd w:id="2"/>
      <w:r>
        <w:rPr>
          <w:rFonts w:ascii="Times New Roman" w:hAnsi="Times New Roman"/>
          <w:b/>
          <w:sz w:val="20"/>
          <w:szCs w:val="20"/>
          <w:lang w:val="en-GB" w:eastAsia="en-US"/>
        </w:rPr>
        <w:t xml:space="preserve"> been done in both RAN1 and RAN4 SI with. The related gain of increasing RSTD report mapping granularity is not well justified. </w:t>
      </w:r>
    </w:p>
    <w:p w:rsidR="00577DBF" w:rsidRPr="0034088E" w:rsidRDefault="00577DBF" w:rsidP="00577DBF">
      <w:pPr>
        <w:rPr>
          <w:rFonts w:ascii="Times New Roman" w:hAnsi="Times New Roman"/>
          <w:b/>
          <w:sz w:val="20"/>
          <w:szCs w:val="20"/>
        </w:rPr>
      </w:pPr>
    </w:p>
    <w:p w:rsidR="00577DBF" w:rsidRDefault="00577DBF" w:rsidP="00577DBF">
      <w:pPr>
        <w:rPr>
          <w:rFonts w:ascii="Times New Roman" w:hAnsi="Times New Roman"/>
          <w:b/>
          <w:sz w:val="20"/>
          <w:szCs w:val="20"/>
          <w:lang w:val="en-GB" w:eastAsia="en-US"/>
        </w:rPr>
      </w:pPr>
      <w:r w:rsidRPr="007942C4">
        <w:rPr>
          <w:rFonts w:ascii="Times New Roman" w:hAnsi="Times New Roman"/>
          <w:b/>
          <w:sz w:val="20"/>
          <w:szCs w:val="20"/>
          <w:lang w:val="en-GB" w:eastAsia="en-US"/>
        </w:rPr>
        <w:t xml:space="preserve">Observation </w:t>
      </w:r>
      <w:r>
        <w:rPr>
          <w:rFonts w:ascii="Times New Roman" w:hAnsi="Times New Roman"/>
          <w:b/>
          <w:sz w:val="20"/>
          <w:szCs w:val="20"/>
          <w:lang w:val="en-GB" w:eastAsia="en-US"/>
        </w:rPr>
        <w:t>4</w:t>
      </w:r>
      <w:r w:rsidRPr="007942C4">
        <w:rPr>
          <w:rFonts w:ascii="Times New Roman" w:hAnsi="Times New Roman"/>
          <w:b/>
          <w:sz w:val="20"/>
          <w:szCs w:val="20"/>
          <w:lang w:val="en-GB" w:eastAsia="en-US"/>
        </w:rPr>
        <w:t>:</w:t>
      </w:r>
      <w:r>
        <w:rPr>
          <w:rFonts w:ascii="Times New Roman" w:hAnsi="Times New Roman"/>
          <w:b/>
          <w:sz w:val="20"/>
          <w:szCs w:val="20"/>
          <w:lang w:val="en-GB" w:eastAsia="en-US"/>
        </w:rPr>
        <w:t xml:space="preserve"> With quite mild TAE</w:t>
      </w:r>
      <w:r w:rsidRPr="00577DBF">
        <w:rPr>
          <w:rFonts w:ascii="Times New Roman" w:hAnsi="Times New Roman"/>
          <w:b/>
          <w:sz w:val="20"/>
          <w:szCs w:val="20"/>
          <w:lang w:val="en-GB" w:eastAsia="en-US"/>
        </w:rPr>
        <w:t xml:space="preserve"> </w:t>
      </w:r>
      <w:r>
        <w:rPr>
          <w:rFonts w:ascii="Times New Roman" w:hAnsi="Times New Roman"/>
          <w:b/>
          <w:sz w:val="20"/>
          <w:szCs w:val="20"/>
          <w:lang w:val="en-GB" w:eastAsia="en-US"/>
        </w:rPr>
        <w:t>assumed, OTDOA performance cannot be improved with increased RSTD report mapping granularity. Even with zero TAE, the performance enhancement due to improved RSTD reporting granularity is limited.</w:t>
      </w:r>
    </w:p>
    <w:p w:rsidR="00577DBF" w:rsidRPr="00577DBF" w:rsidRDefault="00577DBF" w:rsidP="00526F24">
      <w:pPr>
        <w:rPr>
          <w:rFonts w:ascii="Times New Roman" w:hAnsi="Times New Roman"/>
          <w:sz w:val="20"/>
          <w:szCs w:val="20"/>
          <w:lang w:val="en-GB"/>
        </w:rPr>
      </w:pPr>
    </w:p>
    <w:p w:rsidR="00A4088D" w:rsidRDefault="00A4088D" w:rsidP="00A4088D">
      <w:pPr>
        <w:rPr>
          <w:rFonts w:ascii="Times New Roman" w:hAnsi="Times New Roman"/>
          <w:b/>
          <w:sz w:val="20"/>
          <w:szCs w:val="20"/>
          <w:lang w:val="en-GB" w:eastAsia="en-US"/>
        </w:rPr>
      </w:pPr>
      <w:r w:rsidRPr="007942C4">
        <w:rPr>
          <w:rFonts w:ascii="Times New Roman" w:hAnsi="Times New Roman"/>
          <w:b/>
          <w:sz w:val="20"/>
          <w:szCs w:val="20"/>
          <w:lang w:val="en-GB" w:eastAsia="en-US"/>
        </w:rPr>
        <w:t xml:space="preserve">Observation </w:t>
      </w:r>
      <w:r>
        <w:rPr>
          <w:rFonts w:ascii="Times New Roman" w:hAnsi="Times New Roman"/>
          <w:b/>
          <w:sz w:val="20"/>
          <w:szCs w:val="20"/>
          <w:lang w:val="en-GB" w:eastAsia="en-US"/>
        </w:rPr>
        <w:t>5</w:t>
      </w:r>
      <w:r w:rsidRPr="007942C4">
        <w:rPr>
          <w:rFonts w:ascii="Times New Roman" w:hAnsi="Times New Roman"/>
          <w:b/>
          <w:sz w:val="20"/>
          <w:szCs w:val="20"/>
          <w:lang w:val="en-GB" w:eastAsia="en-US"/>
        </w:rPr>
        <w:t xml:space="preserve">: </w:t>
      </w:r>
      <w:r>
        <w:rPr>
          <w:rFonts w:ascii="Times New Roman" w:hAnsi="Times New Roman"/>
          <w:b/>
          <w:sz w:val="20"/>
          <w:szCs w:val="20"/>
          <w:lang w:val="en-GB" w:eastAsia="en-US"/>
        </w:rPr>
        <w:t xml:space="preserve">System level study shows significant OTDOA performance degradation due to coarse TAE between </w:t>
      </w:r>
      <w:proofErr w:type="spellStart"/>
      <w:r>
        <w:rPr>
          <w:rFonts w:ascii="Times New Roman" w:hAnsi="Times New Roman"/>
          <w:b/>
          <w:sz w:val="20"/>
          <w:szCs w:val="20"/>
          <w:lang w:val="en-GB" w:eastAsia="en-US"/>
        </w:rPr>
        <w:t>eNBs</w:t>
      </w:r>
      <w:proofErr w:type="spellEnd"/>
      <w:r>
        <w:rPr>
          <w:rFonts w:ascii="Times New Roman" w:hAnsi="Times New Roman"/>
          <w:b/>
          <w:sz w:val="20"/>
          <w:szCs w:val="20"/>
          <w:lang w:val="en-GB" w:eastAsia="en-US"/>
        </w:rPr>
        <w:t xml:space="preserve">. It suggests that improving TAE requirements should be much more effective than just refining RSTD reporting granularity in terms of OTDOA performance enhancement. </w:t>
      </w:r>
    </w:p>
    <w:p w:rsidR="002F3472" w:rsidRDefault="002F3472" w:rsidP="004C099D">
      <w:pPr>
        <w:rPr>
          <w:rFonts w:ascii="Times New Roman" w:hAnsi="Times New Roman"/>
          <w:sz w:val="20"/>
          <w:szCs w:val="20"/>
          <w:lang w:val="en-GB"/>
        </w:rPr>
      </w:pPr>
    </w:p>
    <w:p w:rsidR="00577DBF" w:rsidRDefault="00577DBF" w:rsidP="004C099D">
      <w:pPr>
        <w:rPr>
          <w:rFonts w:ascii="Times New Roman" w:hAnsi="Times New Roman"/>
          <w:sz w:val="20"/>
          <w:szCs w:val="20"/>
          <w:lang w:val="en-GB"/>
        </w:rPr>
      </w:pPr>
      <w:r>
        <w:rPr>
          <w:rFonts w:ascii="Times New Roman" w:hAnsi="Times New Roman"/>
          <w:sz w:val="20"/>
          <w:szCs w:val="20"/>
          <w:lang w:val="en-GB"/>
        </w:rPr>
        <w:t>Based on the observation above, it is proposed</w:t>
      </w:r>
    </w:p>
    <w:p w:rsidR="00577DBF" w:rsidRDefault="00577DBF" w:rsidP="004C099D">
      <w:pPr>
        <w:rPr>
          <w:rFonts w:ascii="Times New Roman" w:hAnsi="Times New Roman"/>
          <w:sz w:val="20"/>
          <w:szCs w:val="20"/>
          <w:lang w:val="en-GB"/>
        </w:rPr>
      </w:pPr>
    </w:p>
    <w:p w:rsidR="00577DBF" w:rsidRPr="007942C4" w:rsidRDefault="00577DBF" w:rsidP="00577DBF">
      <w:pPr>
        <w:rPr>
          <w:rFonts w:ascii="Times New Roman" w:hAnsi="Times New Roman"/>
          <w:b/>
          <w:sz w:val="20"/>
          <w:szCs w:val="20"/>
          <w:lang w:val="en-GB" w:eastAsia="en-US"/>
        </w:rPr>
      </w:pPr>
      <w:r>
        <w:rPr>
          <w:rFonts w:ascii="Times New Roman" w:hAnsi="Times New Roman"/>
          <w:b/>
          <w:sz w:val="20"/>
          <w:szCs w:val="20"/>
          <w:lang w:val="en-GB" w:eastAsia="en-US"/>
        </w:rPr>
        <w:t>Proposal: RSTD report mapping enhancement should not be considered until the minimum requirement of TAE becomes satisfactory.</w:t>
      </w:r>
    </w:p>
    <w:p w:rsidR="00577DBF" w:rsidRPr="00577DBF" w:rsidRDefault="00577DBF" w:rsidP="004C099D">
      <w:pPr>
        <w:rPr>
          <w:rFonts w:ascii="Times New Roman" w:hAnsi="Times New Roman"/>
          <w:sz w:val="20"/>
          <w:szCs w:val="20"/>
          <w:lang w:val="en-GB"/>
        </w:rPr>
      </w:pPr>
    </w:p>
    <w:p w:rsidR="00526F24" w:rsidRDefault="00526F24" w:rsidP="00526F24">
      <w:pPr>
        <w:pStyle w:val="Heading1"/>
        <w:pBdr>
          <w:top w:val="single" w:sz="12" w:space="2" w:color="auto"/>
        </w:pBdr>
        <w:ind w:left="720" w:hanging="833"/>
        <w:jc w:val="both"/>
      </w:pPr>
      <w:r>
        <w:t>References</w:t>
      </w:r>
    </w:p>
    <w:p w:rsidR="00174998" w:rsidRPr="00743561" w:rsidRDefault="00526F24" w:rsidP="005416A9">
      <w:pPr>
        <w:overflowPunct w:val="0"/>
        <w:autoSpaceDE w:val="0"/>
        <w:autoSpaceDN w:val="0"/>
        <w:adjustRightInd w:val="0"/>
        <w:spacing w:after="180"/>
        <w:jc w:val="left"/>
        <w:textAlignment w:val="baseline"/>
        <w:rPr>
          <w:rFonts w:ascii="Times New Roman" w:hAnsi="Times New Roman"/>
          <w:sz w:val="20"/>
        </w:rPr>
      </w:pPr>
      <w:r w:rsidRPr="00743561">
        <w:rPr>
          <w:rFonts w:ascii="Times New Roman" w:hAnsi="Times New Roman"/>
          <w:bCs/>
          <w:sz w:val="20"/>
        </w:rPr>
        <w:t xml:space="preserve">[1] </w:t>
      </w:r>
      <w:r w:rsidR="005416A9" w:rsidRPr="00743561">
        <w:rPr>
          <w:rFonts w:ascii="Times New Roman" w:hAnsi="Times New Roman"/>
          <w:sz w:val="20"/>
        </w:rPr>
        <w:t>R4-156684</w:t>
      </w:r>
      <w:r w:rsidR="005416A9" w:rsidRPr="00743561">
        <w:rPr>
          <w:rFonts w:ascii="Times New Roman" w:hAnsi="Times New Roman"/>
          <w:sz w:val="20"/>
        </w:rPr>
        <w:tab/>
      </w:r>
      <w:r w:rsidR="00743561" w:rsidRPr="00743561">
        <w:rPr>
          <w:rFonts w:ascii="Times New Roman" w:hAnsi="Times New Roman"/>
          <w:sz w:val="20"/>
        </w:rPr>
        <w:t>“</w:t>
      </w:r>
      <w:r w:rsidR="005416A9" w:rsidRPr="00743561">
        <w:rPr>
          <w:rFonts w:ascii="Times New Roman" w:hAnsi="Times New Roman"/>
          <w:sz w:val="20"/>
        </w:rPr>
        <w:t>Way forward on reducing quantization errors</w:t>
      </w:r>
      <w:r w:rsidR="00743561" w:rsidRPr="00743561">
        <w:rPr>
          <w:rFonts w:ascii="Times New Roman" w:hAnsi="Times New Roman"/>
          <w:sz w:val="20"/>
        </w:rPr>
        <w:t>”</w:t>
      </w:r>
      <w:r w:rsidR="005416A9" w:rsidRPr="00743561">
        <w:rPr>
          <w:rFonts w:ascii="Times New Roman" w:hAnsi="Times New Roman"/>
          <w:sz w:val="20"/>
        </w:rPr>
        <w:t xml:space="preserve">, Huawei, </w:t>
      </w:r>
      <w:proofErr w:type="spellStart"/>
      <w:r w:rsidR="005416A9" w:rsidRPr="00743561">
        <w:rPr>
          <w:rFonts w:ascii="Times New Roman" w:hAnsi="Times New Roman"/>
          <w:sz w:val="20"/>
        </w:rPr>
        <w:t>HiSilicon</w:t>
      </w:r>
      <w:proofErr w:type="spellEnd"/>
      <w:r w:rsidR="005416A9" w:rsidRPr="00743561">
        <w:rPr>
          <w:rFonts w:ascii="Times New Roman" w:hAnsi="Times New Roman"/>
          <w:sz w:val="20"/>
        </w:rPr>
        <w:t>, Ericsson, Qualcomm, Nokia Networks, CATT, Verizon, CMCC, China Telecom, ZTE</w:t>
      </w:r>
    </w:p>
    <w:p w:rsidR="005416A9" w:rsidRPr="00743561" w:rsidRDefault="005416A9" w:rsidP="005416A9">
      <w:pPr>
        <w:overflowPunct w:val="0"/>
        <w:autoSpaceDE w:val="0"/>
        <w:autoSpaceDN w:val="0"/>
        <w:adjustRightInd w:val="0"/>
        <w:spacing w:after="180"/>
        <w:jc w:val="left"/>
        <w:textAlignment w:val="baseline"/>
        <w:rPr>
          <w:rFonts w:ascii="Times New Roman" w:hAnsi="Times New Roman"/>
          <w:sz w:val="20"/>
        </w:rPr>
      </w:pPr>
      <w:r w:rsidRPr="00743561">
        <w:rPr>
          <w:rFonts w:ascii="Times New Roman" w:hAnsi="Times New Roman"/>
          <w:sz w:val="20"/>
        </w:rPr>
        <w:t>[2]</w:t>
      </w:r>
      <w:r w:rsidR="00743561" w:rsidRPr="00743561">
        <w:rPr>
          <w:rFonts w:ascii="Times New Roman" w:hAnsi="Times New Roman"/>
          <w:sz w:val="20"/>
        </w:rPr>
        <w:t xml:space="preserve"> 3GPP TR 36.855: "Feasibility of positioning enhancements for E-UTRA".</w:t>
      </w:r>
    </w:p>
    <w:p w:rsidR="00743561" w:rsidRPr="00743561" w:rsidRDefault="00743561" w:rsidP="00743561">
      <w:pPr>
        <w:overflowPunct w:val="0"/>
        <w:autoSpaceDE w:val="0"/>
        <w:autoSpaceDN w:val="0"/>
        <w:adjustRightInd w:val="0"/>
        <w:spacing w:after="180"/>
        <w:jc w:val="left"/>
        <w:textAlignment w:val="baseline"/>
        <w:rPr>
          <w:rFonts w:ascii="Times New Roman" w:hAnsi="Times New Roman"/>
          <w:sz w:val="20"/>
        </w:rPr>
      </w:pPr>
      <w:r w:rsidRPr="00743561">
        <w:rPr>
          <w:rFonts w:ascii="Times New Roman" w:hAnsi="Times New Roman"/>
          <w:sz w:val="20"/>
        </w:rPr>
        <w:t>[3] 3GPP TR 37.857: “</w:t>
      </w:r>
      <w:r w:rsidRPr="00743561">
        <w:rPr>
          <w:rFonts w:ascii="Times New Roman" w:hAnsi="Times New Roman"/>
          <w:sz w:val="20"/>
        </w:rPr>
        <w:t xml:space="preserve">Study on </w:t>
      </w:r>
      <w:r w:rsidRPr="00743561">
        <w:rPr>
          <w:rFonts w:ascii="Times New Roman" w:hAnsi="Times New Roman"/>
          <w:sz w:val="20"/>
        </w:rPr>
        <w:t xml:space="preserve">indoor positioning enhancements </w:t>
      </w:r>
      <w:r w:rsidRPr="00743561">
        <w:rPr>
          <w:rFonts w:ascii="Times New Roman" w:hAnsi="Times New Roman"/>
          <w:sz w:val="20"/>
        </w:rPr>
        <w:t>for UTRA and LTE</w:t>
      </w:r>
      <w:r w:rsidRPr="00743561">
        <w:rPr>
          <w:rFonts w:ascii="Times New Roman" w:hAnsi="Times New Roman"/>
          <w:sz w:val="20"/>
        </w:rPr>
        <w:t>”</w:t>
      </w:r>
    </w:p>
    <w:p w:rsidR="00391FE8" w:rsidRPr="00391FE8" w:rsidRDefault="00391FE8" w:rsidP="00391FE8">
      <w:pPr>
        <w:pStyle w:val="Heading1"/>
        <w:numPr>
          <w:ilvl w:val="0"/>
          <w:numId w:val="0"/>
        </w:numPr>
        <w:pBdr>
          <w:top w:val="single" w:sz="12" w:space="4" w:color="auto"/>
        </w:pBdr>
        <w:ind w:left="432" w:hanging="432"/>
        <w:rPr>
          <w:rFonts w:ascii="Times New Roman" w:hAnsi="Times New Roman"/>
          <w:lang w:val="en-US" w:eastAsia="zh-CN"/>
        </w:rPr>
      </w:pPr>
      <w:r w:rsidRPr="00391FE8">
        <w:rPr>
          <w:rFonts w:ascii="Times New Roman" w:hAnsi="Times New Roman"/>
          <w:lang w:val="en-US" w:eastAsia="zh-CN"/>
        </w:rPr>
        <w:t xml:space="preserve">Appendix – System Level Evaluation Assumptions </w:t>
      </w:r>
    </w:p>
    <w:p w:rsidR="00391FE8" w:rsidRPr="00391FE8" w:rsidRDefault="00391FE8" w:rsidP="00391FE8">
      <w:pPr>
        <w:rPr>
          <w:rFonts w:ascii="Times New Roman" w:hAnsi="Times New Roman"/>
          <w:lang w:eastAsia="zh-CN"/>
        </w:rPr>
      </w:pPr>
      <w:r w:rsidRPr="00391FE8">
        <w:rPr>
          <w:rFonts w:ascii="Times New Roman" w:hAnsi="Times New Roman"/>
          <w:lang w:eastAsia="zh-CN"/>
        </w:rPr>
        <w:t xml:space="preserve">In this section, we provide summary of all simulation assumptions used for current analysis. The relevant set of system level evaluation assumptions as well as system level parameters are provided in </w:t>
      </w:r>
      <w:r w:rsidRPr="00391FE8">
        <w:rPr>
          <w:rFonts w:ascii="Times New Roman" w:hAnsi="Times New Roman"/>
          <w:lang w:eastAsia="zh-CN"/>
        </w:rPr>
        <w:fldChar w:fldCharType="begin"/>
      </w:r>
      <w:r w:rsidRPr="00391FE8">
        <w:rPr>
          <w:rFonts w:ascii="Times New Roman" w:hAnsi="Times New Roman"/>
          <w:lang w:eastAsia="zh-CN"/>
        </w:rPr>
        <w:instrText xml:space="preserve"> REF _Ref410210617 \h </w:instrText>
      </w:r>
      <w:r w:rsidRPr="00391FE8">
        <w:rPr>
          <w:rFonts w:ascii="Times New Roman" w:hAnsi="Times New Roman"/>
          <w:lang w:eastAsia="zh-CN"/>
        </w:rPr>
      </w:r>
      <w:r>
        <w:rPr>
          <w:rFonts w:ascii="Times New Roman" w:hAnsi="Times New Roman"/>
          <w:lang w:eastAsia="zh-CN"/>
        </w:rPr>
        <w:instrText xml:space="preserve"> \* MERGEFORMAT </w:instrText>
      </w:r>
      <w:r w:rsidRPr="00391FE8">
        <w:rPr>
          <w:rFonts w:ascii="Times New Roman" w:hAnsi="Times New Roman"/>
          <w:lang w:eastAsia="zh-CN"/>
        </w:rPr>
        <w:fldChar w:fldCharType="separate"/>
      </w:r>
      <w:r w:rsidRPr="00391FE8">
        <w:rPr>
          <w:rFonts w:ascii="Times New Roman" w:hAnsi="Times New Roman"/>
        </w:rPr>
        <w:t xml:space="preserve">Table </w:t>
      </w:r>
      <w:r w:rsidRPr="00391FE8">
        <w:rPr>
          <w:rFonts w:ascii="Times New Roman" w:hAnsi="Times New Roman"/>
          <w:noProof/>
        </w:rPr>
        <w:t>1</w:t>
      </w:r>
      <w:r w:rsidRPr="00391FE8">
        <w:rPr>
          <w:rFonts w:ascii="Times New Roman" w:hAnsi="Times New Roman"/>
          <w:lang w:eastAsia="zh-CN"/>
        </w:rPr>
        <w:fldChar w:fldCharType="end"/>
      </w:r>
      <w:r w:rsidRPr="00391FE8">
        <w:rPr>
          <w:rFonts w:ascii="Times New Roman" w:hAnsi="Times New Roman"/>
          <w:lang w:eastAsia="zh-CN"/>
        </w:rPr>
        <w:t>.</w:t>
      </w:r>
    </w:p>
    <w:p w:rsidR="00391FE8" w:rsidRPr="00391FE8" w:rsidRDefault="00391FE8" w:rsidP="00391FE8">
      <w:pPr>
        <w:pStyle w:val="Caption"/>
        <w:rPr>
          <w:lang w:val="en-US" w:eastAsia="zh-CN"/>
        </w:rPr>
      </w:pPr>
      <w:bookmarkStart w:id="3" w:name="_Ref410210617"/>
      <w:r w:rsidRPr="00391FE8">
        <w:rPr>
          <w:lang w:val="en-US"/>
        </w:rPr>
        <w:t xml:space="preserve">Table </w:t>
      </w:r>
      <w:r w:rsidRPr="00391FE8">
        <w:rPr>
          <w:lang w:val="en-US"/>
        </w:rPr>
        <w:fldChar w:fldCharType="begin"/>
      </w:r>
      <w:r w:rsidRPr="00391FE8">
        <w:rPr>
          <w:lang w:val="en-US"/>
        </w:rPr>
        <w:instrText xml:space="preserve"> SEQ Table \* ARABIC </w:instrText>
      </w:r>
      <w:r w:rsidRPr="00391FE8">
        <w:rPr>
          <w:lang w:val="en-US"/>
        </w:rPr>
        <w:fldChar w:fldCharType="separate"/>
      </w:r>
      <w:r w:rsidRPr="00391FE8">
        <w:rPr>
          <w:noProof/>
          <w:lang w:val="en-US"/>
        </w:rPr>
        <w:t>1</w:t>
      </w:r>
      <w:r w:rsidRPr="00391FE8">
        <w:rPr>
          <w:lang w:val="en-US"/>
        </w:rPr>
        <w:fldChar w:fldCharType="end"/>
      </w:r>
      <w:bookmarkEnd w:id="3"/>
      <w:r w:rsidRPr="00391FE8">
        <w:rPr>
          <w:lang w:val="en-US"/>
        </w:rPr>
        <w:t>. Summary of system level evaluation assumptions for positioning and timing estimation.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7056"/>
      </w:tblGrid>
      <w:tr w:rsidR="00391FE8" w:rsidRPr="00391FE8" w:rsidTr="00537059">
        <w:trPr>
          <w:trHeight w:val="218"/>
        </w:trPr>
        <w:tc>
          <w:tcPr>
            <w:tcW w:w="9923" w:type="dxa"/>
            <w:gridSpan w:val="2"/>
            <w:shd w:val="clear" w:color="auto" w:fill="BFBFBF"/>
          </w:tcPr>
          <w:p w:rsidR="00391FE8" w:rsidRPr="00391FE8" w:rsidRDefault="00391FE8" w:rsidP="00537059">
            <w:pPr>
              <w:jc w:val="center"/>
              <w:rPr>
                <w:rFonts w:ascii="Times New Roman" w:hAnsi="Times New Roman"/>
                <w:lang w:eastAsia="zh-CN"/>
              </w:rPr>
            </w:pPr>
            <w:r w:rsidRPr="00391FE8">
              <w:rPr>
                <w:rFonts w:ascii="Times New Roman" w:hAnsi="Times New Roman"/>
                <w:lang w:eastAsia="zh-CN"/>
              </w:rPr>
              <w:t>Positioning method</w:t>
            </w:r>
          </w:p>
        </w:tc>
      </w:tr>
      <w:tr w:rsidR="00391FE8" w:rsidRPr="00391FE8" w:rsidTr="00537059">
        <w:trPr>
          <w:trHeight w:val="1167"/>
        </w:trPr>
        <w:tc>
          <w:tcPr>
            <w:tcW w:w="2268" w:type="dxa"/>
            <w:shd w:val="clear" w:color="auto" w:fill="auto"/>
          </w:tcPr>
          <w:p w:rsidR="00391FE8" w:rsidRPr="00391FE8" w:rsidRDefault="00391FE8" w:rsidP="00537059">
            <w:pPr>
              <w:rPr>
                <w:rFonts w:ascii="Times New Roman" w:hAnsi="Times New Roman"/>
                <w:lang w:eastAsia="zh-CN"/>
              </w:rPr>
            </w:pPr>
            <w:r w:rsidRPr="00391FE8">
              <w:rPr>
                <w:rFonts w:ascii="Times New Roman" w:hAnsi="Times New Roman"/>
                <w:lang w:eastAsia="zh-CN"/>
              </w:rPr>
              <w:t>OTDOA Positioning Method</w:t>
            </w:r>
          </w:p>
        </w:tc>
        <w:tc>
          <w:tcPr>
            <w:tcW w:w="7655" w:type="dxa"/>
            <w:shd w:val="clear" w:color="auto" w:fill="auto"/>
          </w:tcPr>
          <w:p w:rsidR="00391FE8" w:rsidRPr="00391FE8" w:rsidRDefault="00391FE8" w:rsidP="00537059">
            <w:pPr>
              <w:rPr>
                <w:rFonts w:ascii="Times New Roman" w:hAnsi="Times New Roman"/>
                <w:lang w:eastAsia="zh-CN"/>
              </w:rPr>
            </w:pPr>
            <w:r w:rsidRPr="00391FE8">
              <w:rPr>
                <w:rFonts w:ascii="Times New Roman" w:hAnsi="Times New Roman"/>
                <w:lang w:eastAsia="zh-CN"/>
              </w:rPr>
              <w:t xml:space="preserve">2D ML positioning problem is formulated and solved by iterative algorithm based on Taylor series expansion method </w:t>
            </w:r>
            <w:r w:rsidRPr="00391FE8">
              <w:rPr>
                <w:rFonts w:ascii="Times New Roman" w:hAnsi="Times New Roman"/>
                <w:lang w:eastAsia="zh-CN"/>
              </w:rPr>
              <w:fldChar w:fldCharType="begin"/>
            </w:r>
            <w:r w:rsidRPr="00391FE8">
              <w:rPr>
                <w:rFonts w:ascii="Times New Roman" w:hAnsi="Times New Roman"/>
                <w:lang w:eastAsia="zh-CN"/>
              </w:rPr>
              <w:instrText xml:space="preserve"> REF _Ref414982897 \r \h </w:instrText>
            </w:r>
            <w:r w:rsidRPr="00391FE8">
              <w:rPr>
                <w:rFonts w:ascii="Times New Roman" w:hAnsi="Times New Roman"/>
                <w:lang w:eastAsia="zh-CN"/>
              </w:rPr>
            </w:r>
            <w:r>
              <w:rPr>
                <w:rFonts w:ascii="Times New Roman" w:hAnsi="Times New Roman"/>
                <w:lang w:eastAsia="zh-CN"/>
              </w:rPr>
              <w:instrText xml:space="preserve"> \* MERGEFORMAT </w:instrText>
            </w:r>
            <w:r w:rsidRPr="00391FE8">
              <w:rPr>
                <w:rFonts w:ascii="Times New Roman" w:hAnsi="Times New Roman"/>
                <w:lang w:eastAsia="zh-CN"/>
              </w:rPr>
              <w:fldChar w:fldCharType="separate"/>
            </w:r>
            <w:r w:rsidRPr="00391FE8">
              <w:rPr>
                <w:rFonts w:ascii="Times New Roman" w:hAnsi="Times New Roman"/>
                <w:lang w:eastAsia="zh-CN"/>
              </w:rPr>
              <w:t>[2]</w:t>
            </w:r>
            <w:r w:rsidRPr="00391FE8">
              <w:rPr>
                <w:rFonts w:ascii="Times New Roman" w:hAnsi="Times New Roman"/>
                <w:lang w:eastAsia="zh-CN"/>
              </w:rPr>
              <w:fldChar w:fldCharType="end"/>
            </w:r>
            <w:r w:rsidRPr="00391FE8">
              <w:rPr>
                <w:rFonts w:ascii="Times New Roman" w:hAnsi="Times New Roman"/>
                <w:lang w:eastAsia="zh-CN"/>
              </w:rPr>
              <w:t>.</w:t>
            </w:r>
          </w:p>
          <w:p w:rsidR="00391FE8" w:rsidRPr="00391FE8" w:rsidRDefault="00391FE8" w:rsidP="00537059">
            <w:pPr>
              <w:rPr>
                <w:rFonts w:ascii="Times New Roman" w:hAnsi="Times New Roman"/>
                <w:lang w:eastAsia="zh-CN"/>
              </w:rPr>
            </w:pPr>
            <w:r w:rsidRPr="00391FE8">
              <w:rPr>
                <w:rFonts w:ascii="Times New Roman" w:hAnsi="Times New Roman"/>
                <w:lang w:eastAsia="zh-CN"/>
              </w:rPr>
              <w:t>The error weighting matrix is proportional to instantaneous PRS SINR measured over wideband.</w:t>
            </w:r>
          </w:p>
          <w:p w:rsidR="00391FE8" w:rsidRPr="00391FE8" w:rsidRDefault="00391FE8" w:rsidP="00537059">
            <w:pPr>
              <w:rPr>
                <w:rFonts w:ascii="Times New Roman" w:hAnsi="Times New Roman"/>
                <w:lang w:eastAsia="zh-CN"/>
              </w:rPr>
            </w:pPr>
            <w:r w:rsidRPr="00391FE8">
              <w:rPr>
                <w:rFonts w:ascii="Times New Roman" w:hAnsi="Times New Roman"/>
                <w:lang w:eastAsia="zh-CN"/>
              </w:rPr>
              <w:t>Initial guess is the average coordinate of the 5 nodes with unique locations (selected according to largest SINR).</w:t>
            </w:r>
          </w:p>
        </w:tc>
      </w:tr>
      <w:tr w:rsidR="00391FE8" w:rsidRPr="00391FE8" w:rsidTr="00537059">
        <w:tc>
          <w:tcPr>
            <w:tcW w:w="2268" w:type="dxa"/>
            <w:shd w:val="clear" w:color="auto" w:fill="auto"/>
          </w:tcPr>
          <w:p w:rsidR="00391FE8" w:rsidRPr="00391FE8" w:rsidRDefault="00391FE8" w:rsidP="00537059">
            <w:pPr>
              <w:rPr>
                <w:rFonts w:ascii="Times New Roman" w:hAnsi="Times New Roman"/>
                <w:lang w:eastAsia="zh-CN"/>
              </w:rPr>
            </w:pPr>
            <w:r w:rsidRPr="00391FE8">
              <w:rPr>
                <w:rFonts w:ascii="Times New Roman" w:hAnsi="Times New Roman"/>
                <w:lang w:eastAsia="zh-CN"/>
              </w:rPr>
              <w:lastRenderedPageBreak/>
              <w:t>Cell ID Planning</w:t>
            </w:r>
          </w:p>
        </w:tc>
        <w:tc>
          <w:tcPr>
            <w:tcW w:w="7655" w:type="dxa"/>
            <w:shd w:val="clear" w:color="auto" w:fill="auto"/>
          </w:tcPr>
          <w:p w:rsidR="00391FE8" w:rsidRPr="00391FE8" w:rsidRDefault="00391FE8" w:rsidP="00537059">
            <w:pPr>
              <w:rPr>
                <w:rFonts w:ascii="Times New Roman" w:hAnsi="Times New Roman"/>
                <w:lang w:eastAsia="zh-CN"/>
              </w:rPr>
            </w:pPr>
            <w:r w:rsidRPr="00391FE8">
              <w:rPr>
                <w:rFonts w:ascii="Times New Roman" w:hAnsi="Times New Roman"/>
                <w:lang w:eastAsia="zh-CN"/>
              </w:rPr>
              <w:t>Sectors of Macro cell use orthogonal PRS patterns, unique Cell IDs are assigned when feasible.</w:t>
            </w:r>
          </w:p>
        </w:tc>
      </w:tr>
      <w:tr w:rsidR="00391FE8" w:rsidRPr="00391FE8" w:rsidTr="00537059">
        <w:tc>
          <w:tcPr>
            <w:tcW w:w="2268" w:type="dxa"/>
            <w:shd w:val="clear" w:color="auto" w:fill="auto"/>
          </w:tcPr>
          <w:p w:rsidR="00391FE8" w:rsidRPr="00391FE8" w:rsidRDefault="00391FE8" w:rsidP="00537059">
            <w:pPr>
              <w:rPr>
                <w:rFonts w:ascii="Times New Roman" w:hAnsi="Times New Roman"/>
                <w:lang w:eastAsia="zh-CN"/>
              </w:rPr>
            </w:pPr>
            <w:r w:rsidRPr="00391FE8">
              <w:rPr>
                <w:rFonts w:ascii="Times New Roman" w:hAnsi="Times New Roman"/>
                <w:lang w:eastAsia="zh-CN"/>
              </w:rPr>
              <w:t>PRS muting information</w:t>
            </w:r>
          </w:p>
        </w:tc>
        <w:tc>
          <w:tcPr>
            <w:tcW w:w="7655" w:type="dxa"/>
            <w:shd w:val="clear" w:color="auto" w:fill="auto"/>
          </w:tcPr>
          <w:p w:rsidR="00391FE8" w:rsidRPr="00391FE8" w:rsidRDefault="00391FE8" w:rsidP="00537059">
            <w:pPr>
              <w:rPr>
                <w:rFonts w:ascii="Times New Roman" w:hAnsi="Times New Roman"/>
                <w:lang w:eastAsia="zh-CN"/>
              </w:rPr>
            </w:pPr>
            <w:r w:rsidRPr="00391FE8">
              <w:rPr>
                <w:rFonts w:ascii="Times New Roman" w:hAnsi="Times New Roman"/>
                <w:lang w:eastAsia="zh-CN"/>
              </w:rPr>
              <w:t>8-bit muting pattern with a single activated PRS occasion is used.</w:t>
            </w:r>
          </w:p>
        </w:tc>
      </w:tr>
      <w:tr w:rsidR="00391FE8" w:rsidRPr="00391FE8" w:rsidTr="00537059">
        <w:tc>
          <w:tcPr>
            <w:tcW w:w="2268" w:type="dxa"/>
            <w:shd w:val="clear" w:color="auto" w:fill="auto"/>
          </w:tcPr>
          <w:p w:rsidR="00391FE8" w:rsidRPr="00391FE8" w:rsidRDefault="00391FE8" w:rsidP="00537059">
            <w:pPr>
              <w:rPr>
                <w:rFonts w:ascii="Times New Roman" w:hAnsi="Times New Roman"/>
                <w:lang w:eastAsia="zh-CN"/>
              </w:rPr>
            </w:pPr>
            <w:r w:rsidRPr="00391FE8">
              <w:rPr>
                <w:rFonts w:ascii="Times New Roman" w:hAnsi="Times New Roman"/>
                <w:lang w:eastAsia="zh-CN"/>
              </w:rPr>
              <w:t>Max number of cells for RSTD measurements</w:t>
            </w:r>
          </w:p>
        </w:tc>
        <w:tc>
          <w:tcPr>
            <w:tcW w:w="7655" w:type="dxa"/>
            <w:shd w:val="clear" w:color="auto" w:fill="auto"/>
          </w:tcPr>
          <w:p w:rsidR="00391FE8" w:rsidRPr="00391FE8" w:rsidRDefault="00391FE8" w:rsidP="00537059">
            <w:pPr>
              <w:rPr>
                <w:rFonts w:ascii="Times New Roman" w:hAnsi="Times New Roman"/>
                <w:lang w:eastAsia="zh-CN"/>
              </w:rPr>
            </w:pPr>
            <w:r w:rsidRPr="00391FE8">
              <w:rPr>
                <w:rFonts w:ascii="Times New Roman" w:hAnsi="Times New Roman"/>
                <w:lang w:eastAsia="zh-CN"/>
              </w:rPr>
              <w:t>Maximum number of sources is restricted to 20.</w:t>
            </w:r>
          </w:p>
          <w:p w:rsidR="00391FE8" w:rsidRPr="00391FE8" w:rsidRDefault="00391FE8" w:rsidP="00537059">
            <w:pPr>
              <w:rPr>
                <w:rFonts w:ascii="Times New Roman" w:hAnsi="Times New Roman"/>
                <w:lang w:eastAsia="zh-CN"/>
              </w:rPr>
            </w:pPr>
            <w:r w:rsidRPr="00391FE8">
              <w:rPr>
                <w:rFonts w:ascii="Times New Roman" w:hAnsi="Times New Roman"/>
                <w:lang w:eastAsia="zh-CN"/>
              </w:rPr>
              <w:t>Sources with SINR &lt; -13dB are excluded from considerations, assuming high likelihood of inaccurate timing measurements.</w:t>
            </w:r>
          </w:p>
        </w:tc>
      </w:tr>
      <w:tr w:rsidR="00391FE8" w:rsidRPr="00391FE8" w:rsidTr="00537059">
        <w:trPr>
          <w:trHeight w:val="240"/>
        </w:trPr>
        <w:tc>
          <w:tcPr>
            <w:tcW w:w="2268" w:type="dxa"/>
            <w:tcBorders>
              <w:bottom w:val="single" w:sz="4" w:space="0" w:color="auto"/>
            </w:tcBorders>
            <w:shd w:val="clear" w:color="auto" w:fill="auto"/>
          </w:tcPr>
          <w:p w:rsidR="00391FE8" w:rsidRPr="00391FE8" w:rsidRDefault="00391FE8" w:rsidP="00537059">
            <w:pPr>
              <w:rPr>
                <w:rFonts w:ascii="Times New Roman" w:hAnsi="Times New Roman"/>
                <w:lang w:eastAsia="zh-CN"/>
              </w:rPr>
            </w:pPr>
            <w:r w:rsidRPr="00391FE8">
              <w:rPr>
                <w:rFonts w:ascii="Times New Roman" w:hAnsi="Times New Roman"/>
                <w:lang w:eastAsia="zh-CN"/>
              </w:rPr>
              <w:t xml:space="preserve">Reference cell </w:t>
            </w:r>
          </w:p>
        </w:tc>
        <w:tc>
          <w:tcPr>
            <w:tcW w:w="7655" w:type="dxa"/>
            <w:tcBorders>
              <w:bottom w:val="single" w:sz="4" w:space="0" w:color="auto"/>
            </w:tcBorders>
            <w:shd w:val="clear" w:color="auto" w:fill="auto"/>
          </w:tcPr>
          <w:p w:rsidR="00391FE8" w:rsidRPr="00391FE8" w:rsidRDefault="00391FE8" w:rsidP="00537059">
            <w:pPr>
              <w:rPr>
                <w:rFonts w:ascii="Times New Roman" w:hAnsi="Times New Roman"/>
                <w:lang w:eastAsia="zh-CN"/>
              </w:rPr>
            </w:pPr>
            <w:r w:rsidRPr="00391FE8">
              <w:rPr>
                <w:rFonts w:ascii="Times New Roman" w:hAnsi="Times New Roman"/>
                <w:lang w:eastAsia="zh-CN"/>
              </w:rPr>
              <w:t>Serving cell (max received power criterion).</w:t>
            </w:r>
          </w:p>
        </w:tc>
      </w:tr>
      <w:tr w:rsidR="00391FE8" w:rsidRPr="00391FE8" w:rsidTr="00537059">
        <w:trPr>
          <w:trHeight w:val="214"/>
        </w:trPr>
        <w:tc>
          <w:tcPr>
            <w:tcW w:w="9923" w:type="dxa"/>
            <w:gridSpan w:val="2"/>
            <w:shd w:val="clear" w:color="auto" w:fill="C9C9C9"/>
          </w:tcPr>
          <w:p w:rsidR="00391FE8" w:rsidRPr="00391FE8" w:rsidRDefault="00391FE8" w:rsidP="00537059">
            <w:pPr>
              <w:jc w:val="center"/>
              <w:rPr>
                <w:rFonts w:ascii="Times New Roman" w:hAnsi="Times New Roman"/>
                <w:lang w:eastAsia="zh-CN"/>
              </w:rPr>
            </w:pPr>
            <w:r w:rsidRPr="00391FE8">
              <w:rPr>
                <w:rFonts w:ascii="Times New Roman" w:hAnsi="Times New Roman"/>
                <w:lang w:eastAsia="zh-CN"/>
              </w:rPr>
              <w:t>Timing estimation</w:t>
            </w:r>
          </w:p>
        </w:tc>
      </w:tr>
      <w:tr w:rsidR="00391FE8" w:rsidRPr="00391FE8" w:rsidTr="00537059">
        <w:tc>
          <w:tcPr>
            <w:tcW w:w="2268" w:type="dxa"/>
            <w:shd w:val="clear" w:color="auto" w:fill="auto"/>
          </w:tcPr>
          <w:p w:rsidR="00391FE8" w:rsidRPr="00391FE8" w:rsidRDefault="00391FE8" w:rsidP="00537059">
            <w:pPr>
              <w:rPr>
                <w:rFonts w:ascii="Times New Roman" w:hAnsi="Times New Roman"/>
                <w:lang w:eastAsia="zh-CN"/>
              </w:rPr>
            </w:pPr>
            <w:r w:rsidRPr="00391FE8">
              <w:rPr>
                <w:rFonts w:ascii="Times New Roman" w:hAnsi="Times New Roman"/>
                <w:lang w:eastAsia="zh-CN"/>
              </w:rPr>
              <w:t>Timing estimation</w:t>
            </w:r>
          </w:p>
        </w:tc>
        <w:tc>
          <w:tcPr>
            <w:tcW w:w="7655" w:type="dxa"/>
            <w:shd w:val="clear" w:color="auto" w:fill="auto"/>
          </w:tcPr>
          <w:p w:rsidR="00391FE8" w:rsidRPr="00391FE8" w:rsidRDefault="00391FE8" w:rsidP="00537059">
            <w:pPr>
              <w:rPr>
                <w:rFonts w:ascii="Times New Roman" w:hAnsi="Times New Roman"/>
                <w:lang w:eastAsia="zh-CN"/>
              </w:rPr>
            </w:pPr>
            <w:r w:rsidRPr="00391FE8">
              <w:rPr>
                <w:rFonts w:ascii="Times New Roman" w:hAnsi="Times New Roman"/>
                <w:lang w:eastAsia="zh-CN"/>
              </w:rPr>
              <w:t xml:space="preserve">Search window is restricted to [+/- 200 </w:t>
            </w:r>
            <w:proofErr w:type="spellStart"/>
            <w:r w:rsidRPr="00391FE8">
              <w:rPr>
                <w:rFonts w:ascii="Times New Roman" w:hAnsi="Times New Roman"/>
                <w:lang w:eastAsia="zh-CN"/>
              </w:rPr>
              <w:t>Ts</w:t>
            </w:r>
            <w:proofErr w:type="spellEnd"/>
            <w:r w:rsidRPr="00391FE8">
              <w:rPr>
                <w:rFonts w:ascii="Times New Roman" w:hAnsi="Times New Roman"/>
                <w:lang w:eastAsia="zh-CN"/>
              </w:rPr>
              <w:t>] relative to the serving cell.</w:t>
            </w:r>
          </w:p>
          <w:p w:rsidR="00391FE8" w:rsidRPr="00391FE8" w:rsidRDefault="00391FE8" w:rsidP="00537059">
            <w:pPr>
              <w:rPr>
                <w:rFonts w:ascii="Times New Roman" w:hAnsi="Times New Roman"/>
                <w:lang w:eastAsia="zh-CN"/>
              </w:rPr>
            </w:pPr>
            <w:r w:rsidRPr="00391FE8">
              <w:rPr>
                <w:rFonts w:ascii="Times New Roman" w:hAnsi="Times New Roman"/>
                <w:lang w:eastAsia="zh-CN"/>
              </w:rPr>
              <w:t>Threshold based algorithm for the first arrival path detection with non-coherent combining across UE antennas.</w:t>
            </w:r>
          </w:p>
          <w:p w:rsidR="00391FE8" w:rsidRPr="00391FE8" w:rsidRDefault="00391FE8" w:rsidP="00537059">
            <w:pPr>
              <w:rPr>
                <w:rFonts w:ascii="Times New Roman" w:hAnsi="Times New Roman"/>
                <w:lang w:eastAsia="zh-CN"/>
              </w:rPr>
            </w:pPr>
            <w:r w:rsidRPr="00391FE8">
              <w:rPr>
                <w:rFonts w:ascii="Times New Roman" w:hAnsi="Times New Roman"/>
                <w:lang w:eastAsia="zh-CN"/>
              </w:rPr>
              <w:t>Low interference subframes are assumed (w/o data and control signals)</w:t>
            </w:r>
          </w:p>
          <w:p w:rsidR="00391FE8" w:rsidRPr="00391FE8" w:rsidRDefault="00391FE8" w:rsidP="00537059">
            <w:pPr>
              <w:rPr>
                <w:rFonts w:ascii="Times New Roman" w:hAnsi="Times New Roman"/>
                <w:lang w:eastAsia="zh-CN"/>
              </w:rPr>
            </w:pPr>
            <w:r w:rsidRPr="00391FE8">
              <w:rPr>
                <w:rFonts w:ascii="Times New Roman" w:hAnsi="Times New Roman"/>
                <w:lang w:eastAsia="zh-CN"/>
              </w:rPr>
              <w:t>Only PRS processing for timing estimation of neighboring cells.</w:t>
            </w:r>
          </w:p>
        </w:tc>
      </w:tr>
      <w:tr w:rsidR="00391FE8" w:rsidRPr="00391FE8" w:rsidTr="00537059">
        <w:tc>
          <w:tcPr>
            <w:tcW w:w="2268" w:type="dxa"/>
            <w:shd w:val="clear" w:color="auto" w:fill="auto"/>
          </w:tcPr>
          <w:p w:rsidR="00391FE8" w:rsidRPr="00391FE8" w:rsidRDefault="00391FE8" w:rsidP="00537059">
            <w:pPr>
              <w:rPr>
                <w:rFonts w:ascii="Times New Roman" w:hAnsi="Times New Roman"/>
                <w:lang w:eastAsia="zh-CN"/>
              </w:rPr>
            </w:pPr>
            <w:r w:rsidRPr="00391FE8">
              <w:rPr>
                <w:rFonts w:ascii="Times New Roman" w:hAnsi="Times New Roman"/>
                <w:lang w:eastAsia="zh-CN"/>
              </w:rPr>
              <w:t>PRS info</w:t>
            </w:r>
          </w:p>
        </w:tc>
        <w:tc>
          <w:tcPr>
            <w:tcW w:w="7655" w:type="dxa"/>
            <w:shd w:val="clear" w:color="auto" w:fill="auto"/>
          </w:tcPr>
          <w:p w:rsidR="00391FE8" w:rsidRPr="00391FE8" w:rsidRDefault="00391FE8" w:rsidP="00537059">
            <w:pPr>
              <w:rPr>
                <w:rFonts w:ascii="Times New Roman" w:hAnsi="Times New Roman"/>
                <w:lang w:eastAsia="zh-CN"/>
              </w:rPr>
            </w:pPr>
            <w:r w:rsidRPr="00391FE8">
              <w:rPr>
                <w:rFonts w:ascii="Times New Roman" w:hAnsi="Times New Roman"/>
                <w:lang w:eastAsia="zh-CN"/>
              </w:rPr>
              <w:t>10 MHz, 20MHz and 40MHz (2 CCs) are used for PRS processing. No boosting. No up-sampling is applied.</w:t>
            </w:r>
          </w:p>
        </w:tc>
      </w:tr>
      <w:tr w:rsidR="00391FE8" w:rsidRPr="00391FE8" w:rsidTr="00537059">
        <w:tc>
          <w:tcPr>
            <w:tcW w:w="2268" w:type="dxa"/>
            <w:shd w:val="clear" w:color="auto" w:fill="auto"/>
          </w:tcPr>
          <w:p w:rsidR="00391FE8" w:rsidRPr="00391FE8" w:rsidRDefault="00391FE8" w:rsidP="00537059">
            <w:pPr>
              <w:rPr>
                <w:rFonts w:ascii="Times New Roman" w:hAnsi="Times New Roman"/>
                <w:lang w:eastAsia="zh-CN"/>
              </w:rPr>
            </w:pPr>
            <w:r w:rsidRPr="00391FE8">
              <w:rPr>
                <w:rFonts w:ascii="Times New Roman" w:hAnsi="Times New Roman"/>
                <w:lang w:eastAsia="zh-CN"/>
              </w:rPr>
              <w:t>Cyclic Prefix</w:t>
            </w:r>
          </w:p>
        </w:tc>
        <w:tc>
          <w:tcPr>
            <w:tcW w:w="7655" w:type="dxa"/>
            <w:shd w:val="clear" w:color="auto" w:fill="auto"/>
          </w:tcPr>
          <w:p w:rsidR="00391FE8" w:rsidRPr="00391FE8" w:rsidRDefault="00391FE8" w:rsidP="00537059">
            <w:pPr>
              <w:rPr>
                <w:rFonts w:ascii="Times New Roman" w:hAnsi="Times New Roman"/>
                <w:lang w:eastAsia="zh-CN"/>
              </w:rPr>
            </w:pPr>
            <w:r w:rsidRPr="00391FE8">
              <w:rPr>
                <w:rFonts w:ascii="Times New Roman" w:hAnsi="Times New Roman"/>
                <w:lang w:eastAsia="zh-CN"/>
              </w:rPr>
              <w:t>Extended cyclic prefix was used in analysis.</w:t>
            </w:r>
          </w:p>
        </w:tc>
      </w:tr>
      <w:tr w:rsidR="00054938" w:rsidRPr="00391FE8" w:rsidTr="00537059">
        <w:tc>
          <w:tcPr>
            <w:tcW w:w="2268" w:type="dxa"/>
            <w:shd w:val="clear" w:color="auto" w:fill="auto"/>
          </w:tcPr>
          <w:p w:rsidR="00054938" w:rsidRPr="00391FE8" w:rsidRDefault="00054938" w:rsidP="00537059">
            <w:pPr>
              <w:rPr>
                <w:rFonts w:ascii="Times New Roman" w:hAnsi="Times New Roman"/>
                <w:lang w:eastAsia="zh-CN"/>
              </w:rPr>
            </w:pPr>
            <w:r>
              <w:rPr>
                <w:rFonts w:ascii="Times New Roman" w:hAnsi="Times New Roman"/>
                <w:lang w:eastAsia="zh-CN"/>
              </w:rPr>
              <w:t>TAE assumption</w:t>
            </w:r>
          </w:p>
        </w:tc>
        <w:tc>
          <w:tcPr>
            <w:tcW w:w="7655" w:type="dxa"/>
            <w:shd w:val="clear" w:color="auto" w:fill="auto"/>
          </w:tcPr>
          <w:p w:rsidR="00054938" w:rsidRPr="00391FE8" w:rsidRDefault="00054938" w:rsidP="00A23CAF">
            <w:pPr>
              <w:rPr>
                <w:rFonts w:ascii="Times New Roman" w:hAnsi="Times New Roman"/>
                <w:lang w:eastAsia="zh-CN"/>
              </w:rPr>
            </w:pPr>
            <w:r>
              <w:rPr>
                <w:rFonts w:ascii="Times New Roman" w:hAnsi="Times New Roman"/>
                <w:lang w:eastAsia="zh-CN"/>
              </w:rPr>
              <w:t xml:space="preserve"> </w:t>
            </w:r>
            <w:r w:rsidRPr="00054938">
              <w:rPr>
                <w:rFonts w:ascii="Times New Roman" w:hAnsi="Times New Roman"/>
                <w:lang w:eastAsia="zh-CN"/>
              </w:rPr>
              <w:t xml:space="preserve">Gaussian distribution with </w:t>
            </w:r>
            <w:proofErr w:type="spellStart"/>
            <w:r w:rsidRPr="00054938">
              <w:rPr>
                <w:rFonts w:ascii="Times New Roman" w:hAnsi="Times New Roman"/>
                <w:lang w:eastAsia="zh-CN"/>
              </w:rPr>
              <w:t>rms</w:t>
            </w:r>
            <w:proofErr w:type="spellEnd"/>
            <w:r w:rsidRPr="00054938">
              <w:rPr>
                <w:rFonts w:ascii="Times New Roman" w:hAnsi="Times New Roman"/>
                <w:lang w:eastAsia="zh-CN"/>
              </w:rPr>
              <w:t xml:space="preserve"> </w:t>
            </w:r>
            <w:r>
              <w:rPr>
                <w:rFonts w:ascii="Times New Roman" w:hAnsi="Times New Roman"/>
                <w:lang w:eastAsia="zh-CN"/>
              </w:rPr>
              <w:t>X ns and truncated at [+X ns; -X</w:t>
            </w:r>
            <w:r w:rsidRPr="00054938">
              <w:rPr>
                <w:rFonts w:ascii="Times New Roman" w:hAnsi="Times New Roman"/>
                <w:lang w:eastAsia="zh-CN"/>
              </w:rPr>
              <w:t xml:space="preserve"> ns]</w:t>
            </w:r>
            <w:r>
              <w:rPr>
                <w:rFonts w:ascii="Times New Roman" w:hAnsi="Times New Roman"/>
                <w:lang w:eastAsia="zh-CN"/>
              </w:rPr>
              <w:t>. X</w:t>
            </w:r>
            <w:proofErr w:type="gramStart"/>
            <w:r>
              <w:rPr>
                <w:rFonts w:ascii="Times New Roman" w:hAnsi="Times New Roman"/>
                <w:lang w:eastAsia="zh-CN"/>
              </w:rPr>
              <w:t>=[</w:t>
            </w:r>
            <w:proofErr w:type="gramEnd"/>
            <w:r>
              <w:rPr>
                <w:rFonts w:ascii="Times New Roman" w:hAnsi="Times New Roman"/>
                <w:lang w:eastAsia="zh-CN"/>
              </w:rPr>
              <w:t>0, 50, 1</w:t>
            </w:r>
            <w:r w:rsidR="00A23CAF">
              <w:rPr>
                <w:rFonts w:ascii="Times New Roman" w:hAnsi="Times New Roman"/>
                <w:lang w:eastAsia="zh-CN"/>
              </w:rPr>
              <w:t>5</w:t>
            </w:r>
            <w:r>
              <w:rPr>
                <w:rFonts w:ascii="Times New Roman" w:hAnsi="Times New Roman"/>
                <w:lang w:eastAsia="zh-CN"/>
              </w:rPr>
              <w:t>0].</w:t>
            </w:r>
            <w:r w:rsidRPr="00054938">
              <w:rPr>
                <w:rFonts w:ascii="Times New Roman" w:hAnsi="Times New Roman"/>
                <w:lang w:eastAsia="zh-CN"/>
              </w:rPr>
              <w:t xml:space="preserve"> </w:t>
            </w:r>
          </w:p>
        </w:tc>
      </w:tr>
    </w:tbl>
    <w:p w:rsidR="0032050A" w:rsidRPr="00832E03" w:rsidRDefault="0032050A" w:rsidP="00A23CAF">
      <w:pPr>
        <w:pStyle w:val="Heading1"/>
        <w:numPr>
          <w:ilvl w:val="0"/>
          <w:numId w:val="0"/>
        </w:numPr>
        <w:pBdr>
          <w:top w:val="single" w:sz="12" w:space="2" w:color="auto"/>
        </w:pBdr>
        <w:jc w:val="both"/>
        <w:rPr>
          <w:rFonts w:ascii="Times New Roman" w:hAnsi="Times New Roman"/>
          <w:sz w:val="20"/>
        </w:rPr>
      </w:pPr>
    </w:p>
    <w:sectPr w:rsidR="0032050A" w:rsidRPr="00832E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B532E1"/>
    <w:multiLevelType w:val="hybridMultilevel"/>
    <w:tmpl w:val="51C2E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177254"/>
    <w:multiLevelType w:val="hybridMultilevel"/>
    <w:tmpl w:val="AA7E1A12"/>
    <w:lvl w:ilvl="0" w:tplc="6C2C3364">
      <w:start w:val="4"/>
      <w:numFmt w:val="bullet"/>
      <w:lvlText w:val="-"/>
      <w:lvlJc w:val="left"/>
      <w:pPr>
        <w:ind w:left="1212" w:hanging="360"/>
      </w:pPr>
      <w:rPr>
        <w:rFonts w:ascii="Times New Roman" w:eastAsia="Times New Roman" w:hAnsi="Times New Roman" w:cs="Times New Roman" w:hint="default"/>
      </w:rPr>
    </w:lvl>
    <w:lvl w:ilvl="1" w:tplc="0409000F">
      <w:start w:val="1"/>
      <w:numFmt w:val="decimal"/>
      <w:lvlText w:val="%2."/>
      <w:lvlJc w:val="left"/>
      <w:pPr>
        <w:ind w:left="1932" w:hanging="360"/>
      </w:pPr>
    </w:lvl>
    <w:lvl w:ilvl="2" w:tplc="0409001B">
      <w:start w:val="1"/>
      <w:numFmt w:val="lowerRoman"/>
      <w:lvlText w:val="%3."/>
      <w:lvlJc w:val="right"/>
      <w:pPr>
        <w:ind w:left="2652" w:hanging="180"/>
      </w:pPr>
    </w:lvl>
    <w:lvl w:ilvl="3" w:tplc="0409000F">
      <w:start w:val="1"/>
      <w:numFmt w:val="decimal"/>
      <w:lvlText w:val="%4."/>
      <w:lvlJc w:val="left"/>
      <w:pPr>
        <w:ind w:left="3372" w:hanging="360"/>
      </w:pPr>
    </w:lvl>
    <w:lvl w:ilvl="4" w:tplc="04090019">
      <w:start w:val="1"/>
      <w:numFmt w:val="lowerLetter"/>
      <w:lvlText w:val="%5."/>
      <w:lvlJc w:val="left"/>
      <w:pPr>
        <w:ind w:left="4092" w:hanging="360"/>
      </w:pPr>
    </w:lvl>
    <w:lvl w:ilvl="5" w:tplc="0409001B">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 w15:restartNumberingAfterBreak="0">
    <w:nsid w:val="11F175D9"/>
    <w:multiLevelType w:val="multilevel"/>
    <w:tmpl w:val="C6B81D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E81682"/>
    <w:multiLevelType w:val="hybridMultilevel"/>
    <w:tmpl w:val="78FA8E0C"/>
    <w:lvl w:ilvl="0" w:tplc="FDE01B22">
      <w:start w:val="1"/>
      <w:numFmt w:val="bullet"/>
      <w:lvlText w:val="•"/>
      <w:lvlJc w:val="left"/>
      <w:pPr>
        <w:tabs>
          <w:tab w:val="num" w:pos="720"/>
        </w:tabs>
        <w:ind w:left="720" w:hanging="360"/>
      </w:pPr>
      <w:rPr>
        <w:rFonts w:ascii="Arial" w:hAnsi="Arial" w:hint="default"/>
      </w:rPr>
    </w:lvl>
    <w:lvl w:ilvl="1" w:tplc="490EF834" w:tentative="1">
      <w:start w:val="1"/>
      <w:numFmt w:val="bullet"/>
      <w:lvlText w:val="•"/>
      <w:lvlJc w:val="left"/>
      <w:pPr>
        <w:tabs>
          <w:tab w:val="num" w:pos="1440"/>
        </w:tabs>
        <w:ind w:left="1440" w:hanging="360"/>
      </w:pPr>
      <w:rPr>
        <w:rFonts w:ascii="Arial" w:hAnsi="Arial" w:hint="default"/>
      </w:rPr>
    </w:lvl>
    <w:lvl w:ilvl="2" w:tplc="677433E8" w:tentative="1">
      <w:start w:val="1"/>
      <w:numFmt w:val="bullet"/>
      <w:lvlText w:val="•"/>
      <w:lvlJc w:val="left"/>
      <w:pPr>
        <w:tabs>
          <w:tab w:val="num" w:pos="2160"/>
        </w:tabs>
        <w:ind w:left="2160" w:hanging="360"/>
      </w:pPr>
      <w:rPr>
        <w:rFonts w:ascii="Arial" w:hAnsi="Arial" w:hint="default"/>
      </w:rPr>
    </w:lvl>
    <w:lvl w:ilvl="3" w:tplc="D590B13A" w:tentative="1">
      <w:start w:val="1"/>
      <w:numFmt w:val="bullet"/>
      <w:lvlText w:val="•"/>
      <w:lvlJc w:val="left"/>
      <w:pPr>
        <w:tabs>
          <w:tab w:val="num" w:pos="2880"/>
        </w:tabs>
        <w:ind w:left="2880" w:hanging="360"/>
      </w:pPr>
      <w:rPr>
        <w:rFonts w:ascii="Arial" w:hAnsi="Arial" w:hint="default"/>
      </w:rPr>
    </w:lvl>
    <w:lvl w:ilvl="4" w:tplc="77883268" w:tentative="1">
      <w:start w:val="1"/>
      <w:numFmt w:val="bullet"/>
      <w:lvlText w:val="•"/>
      <w:lvlJc w:val="left"/>
      <w:pPr>
        <w:tabs>
          <w:tab w:val="num" w:pos="3600"/>
        </w:tabs>
        <w:ind w:left="3600" w:hanging="360"/>
      </w:pPr>
      <w:rPr>
        <w:rFonts w:ascii="Arial" w:hAnsi="Arial" w:hint="default"/>
      </w:rPr>
    </w:lvl>
    <w:lvl w:ilvl="5" w:tplc="1668E99C" w:tentative="1">
      <w:start w:val="1"/>
      <w:numFmt w:val="bullet"/>
      <w:lvlText w:val="•"/>
      <w:lvlJc w:val="left"/>
      <w:pPr>
        <w:tabs>
          <w:tab w:val="num" w:pos="4320"/>
        </w:tabs>
        <w:ind w:left="4320" w:hanging="360"/>
      </w:pPr>
      <w:rPr>
        <w:rFonts w:ascii="Arial" w:hAnsi="Arial" w:hint="default"/>
      </w:rPr>
    </w:lvl>
    <w:lvl w:ilvl="6" w:tplc="C834FA72" w:tentative="1">
      <w:start w:val="1"/>
      <w:numFmt w:val="bullet"/>
      <w:lvlText w:val="•"/>
      <w:lvlJc w:val="left"/>
      <w:pPr>
        <w:tabs>
          <w:tab w:val="num" w:pos="5040"/>
        </w:tabs>
        <w:ind w:left="5040" w:hanging="360"/>
      </w:pPr>
      <w:rPr>
        <w:rFonts w:ascii="Arial" w:hAnsi="Arial" w:hint="default"/>
      </w:rPr>
    </w:lvl>
    <w:lvl w:ilvl="7" w:tplc="6B60CEFA" w:tentative="1">
      <w:start w:val="1"/>
      <w:numFmt w:val="bullet"/>
      <w:lvlText w:val="•"/>
      <w:lvlJc w:val="left"/>
      <w:pPr>
        <w:tabs>
          <w:tab w:val="num" w:pos="5760"/>
        </w:tabs>
        <w:ind w:left="5760" w:hanging="360"/>
      </w:pPr>
      <w:rPr>
        <w:rFonts w:ascii="Arial" w:hAnsi="Arial" w:hint="default"/>
      </w:rPr>
    </w:lvl>
    <w:lvl w:ilvl="8" w:tplc="F6E8BD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0405B5"/>
    <w:multiLevelType w:val="hybridMultilevel"/>
    <w:tmpl w:val="2F2AE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63E39"/>
    <w:multiLevelType w:val="hybridMultilevel"/>
    <w:tmpl w:val="BE7E6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E56EC"/>
    <w:multiLevelType w:val="hybridMultilevel"/>
    <w:tmpl w:val="9D6CC6AC"/>
    <w:lvl w:ilvl="0" w:tplc="AC0A7A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AD7A1F"/>
    <w:multiLevelType w:val="hybridMultilevel"/>
    <w:tmpl w:val="76CE21B4"/>
    <w:lvl w:ilvl="0" w:tplc="4E60189C">
      <w:start w:val="1"/>
      <w:numFmt w:val="bullet"/>
      <w:lvlText w:val="•"/>
      <w:lvlJc w:val="left"/>
      <w:pPr>
        <w:tabs>
          <w:tab w:val="num" w:pos="720"/>
        </w:tabs>
        <w:ind w:left="720" w:hanging="360"/>
      </w:pPr>
      <w:rPr>
        <w:rFonts w:ascii="Arial" w:hAnsi="Arial" w:hint="default"/>
      </w:rPr>
    </w:lvl>
    <w:lvl w:ilvl="1" w:tplc="5B0418BC" w:tentative="1">
      <w:start w:val="1"/>
      <w:numFmt w:val="bullet"/>
      <w:lvlText w:val="•"/>
      <w:lvlJc w:val="left"/>
      <w:pPr>
        <w:tabs>
          <w:tab w:val="num" w:pos="1440"/>
        </w:tabs>
        <w:ind w:left="1440" w:hanging="360"/>
      </w:pPr>
      <w:rPr>
        <w:rFonts w:ascii="Arial" w:hAnsi="Arial" w:hint="default"/>
      </w:rPr>
    </w:lvl>
    <w:lvl w:ilvl="2" w:tplc="442843A4" w:tentative="1">
      <w:start w:val="1"/>
      <w:numFmt w:val="bullet"/>
      <w:lvlText w:val="•"/>
      <w:lvlJc w:val="left"/>
      <w:pPr>
        <w:tabs>
          <w:tab w:val="num" w:pos="2160"/>
        </w:tabs>
        <w:ind w:left="2160" w:hanging="360"/>
      </w:pPr>
      <w:rPr>
        <w:rFonts w:ascii="Arial" w:hAnsi="Arial" w:hint="default"/>
      </w:rPr>
    </w:lvl>
    <w:lvl w:ilvl="3" w:tplc="59E065DE" w:tentative="1">
      <w:start w:val="1"/>
      <w:numFmt w:val="bullet"/>
      <w:lvlText w:val="•"/>
      <w:lvlJc w:val="left"/>
      <w:pPr>
        <w:tabs>
          <w:tab w:val="num" w:pos="2880"/>
        </w:tabs>
        <w:ind w:left="2880" w:hanging="360"/>
      </w:pPr>
      <w:rPr>
        <w:rFonts w:ascii="Arial" w:hAnsi="Arial" w:hint="default"/>
      </w:rPr>
    </w:lvl>
    <w:lvl w:ilvl="4" w:tplc="9168B83E" w:tentative="1">
      <w:start w:val="1"/>
      <w:numFmt w:val="bullet"/>
      <w:lvlText w:val="•"/>
      <w:lvlJc w:val="left"/>
      <w:pPr>
        <w:tabs>
          <w:tab w:val="num" w:pos="3600"/>
        </w:tabs>
        <w:ind w:left="3600" w:hanging="360"/>
      </w:pPr>
      <w:rPr>
        <w:rFonts w:ascii="Arial" w:hAnsi="Arial" w:hint="default"/>
      </w:rPr>
    </w:lvl>
    <w:lvl w:ilvl="5" w:tplc="D8140768" w:tentative="1">
      <w:start w:val="1"/>
      <w:numFmt w:val="bullet"/>
      <w:lvlText w:val="•"/>
      <w:lvlJc w:val="left"/>
      <w:pPr>
        <w:tabs>
          <w:tab w:val="num" w:pos="4320"/>
        </w:tabs>
        <w:ind w:left="4320" w:hanging="360"/>
      </w:pPr>
      <w:rPr>
        <w:rFonts w:ascii="Arial" w:hAnsi="Arial" w:hint="default"/>
      </w:rPr>
    </w:lvl>
    <w:lvl w:ilvl="6" w:tplc="82FA0F36" w:tentative="1">
      <w:start w:val="1"/>
      <w:numFmt w:val="bullet"/>
      <w:lvlText w:val="•"/>
      <w:lvlJc w:val="left"/>
      <w:pPr>
        <w:tabs>
          <w:tab w:val="num" w:pos="5040"/>
        </w:tabs>
        <w:ind w:left="5040" w:hanging="360"/>
      </w:pPr>
      <w:rPr>
        <w:rFonts w:ascii="Arial" w:hAnsi="Arial" w:hint="default"/>
      </w:rPr>
    </w:lvl>
    <w:lvl w:ilvl="7" w:tplc="F590457C" w:tentative="1">
      <w:start w:val="1"/>
      <w:numFmt w:val="bullet"/>
      <w:lvlText w:val="•"/>
      <w:lvlJc w:val="left"/>
      <w:pPr>
        <w:tabs>
          <w:tab w:val="num" w:pos="5760"/>
        </w:tabs>
        <w:ind w:left="5760" w:hanging="360"/>
      </w:pPr>
      <w:rPr>
        <w:rFonts w:ascii="Arial" w:hAnsi="Arial" w:hint="default"/>
      </w:rPr>
    </w:lvl>
    <w:lvl w:ilvl="8" w:tplc="0150DA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E2507C"/>
    <w:multiLevelType w:val="hybridMultilevel"/>
    <w:tmpl w:val="F216C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136C7"/>
    <w:multiLevelType w:val="hybridMultilevel"/>
    <w:tmpl w:val="475AB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9015D3"/>
    <w:multiLevelType w:val="hybridMultilevel"/>
    <w:tmpl w:val="8CF63FBA"/>
    <w:lvl w:ilvl="0" w:tplc="0409001B">
      <w:start w:val="1"/>
      <w:numFmt w:val="lowerRoman"/>
      <w:lvlText w:val="%1."/>
      <w:lvlJc w:val="right"/>
      <w:pPr>
        <w:ind w:left="720" w:hanging="360"/>
      </w:pPr>
      <w:rPr>
        <w:rFonts w:hint="default"/>
        <w:color w:val="1F497D"/>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2CB2D1B"/>
    <w:multiLevelType w:val="hybridMultilevel"/>
    <w:tmpl w:val="88F476C4"/>
    <w:lvl w:ilvl="0" w:tplc="97C4B48A">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B845505"/>
    <w:multiLevelType w:val="hybridMultilevel"/>
    <w:tmpl w:val="C5E0D3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E3273E"/>
    <w:multiLevelType w:val="hybridMultilevel"/>
    <w:tmpl w:val="77C8B8B2"/>
    <w:lvl w:ilvl="0" w:tplc="0966FEA0">
      <w:start w:val="1"/>
      <w:numFmt w:val="bullet"/>
      <w:lvlText w:val="•"/>
      <w:lvlJc w:val="left"/>
      <w:pPr>
        <w:tabs>
          <w:tab w:val="num" w:pos="720"/>
        </w:tabs>
        <w:ind w:left="720" w:hanging="360"/>
      </w:pPr>
      <w:rPr>
        <w:rFonts w:ascii="Arial" w:hAnsi="Arial" w:hint="default"/>
      </w:rPr>
    </w:lvl>
    <w:lvl w:ilvl="1" w:tplc="F528AB46" w:tentative="1">
      <w:start w:val="1"/>
      <w:numFmt w:val="bullet"/>
      <w:lvlText w:val="•"/>
      <w:lvlJc w:val="left"/>
      <w:pPr>
        <w:tabs>
          <w:tab w:val="num" w:pos="1440"/>
        </w:tabs>
        <w:ind w:left="1440" w:hanging="360"/>
      </w:pPr>
      <w:rPr>
        <w:rFonts w:ascii="Arial" w:hAnsi="Arial" w:hint="default"/>
      </w:rPr>
    </w:lvl>
    <w:lvl w:ilvl="2" w:tplc="1D023DB6" w:tentative="1">
      <w:start w:val="1"/>
      <w:numFmt w:val="bullet"/>
      <w:lvlText w:val="•"/>
      <w:lvlJc w:val="left"/>
      <w:pPr>
        <w:tabs>
          <w:tab w:val="num" w:pos="2160"/>
        </w:tabs>
        <w:ind w:left="2160" w:hanging="360"/>
      </w:pPr>
      <w:rPr>
        <w:rFonts w:ascii="Arial" w:hAnsi="Arial" w:hint="default"/>
      </w:rPr>
    </w:lvl>
    <w:lvl w:ilvl="3" w:tplc="E4AE9688" w:tentative="1">
      <w:start w:val="1"/>
      <w:numFmt w:val="bullet"/>
      <w:lvlText w:val="•"/>
      <w:lvlJc w:val="left"/>
      <w:pPr>
        <w:tabs>
          <w:tab w:val="num" w:pos="2880"/>
        </w:tabs>
        <w:ind w:left="2880" w:hanging="360"/>
      </w:pPr>
      <w:rPr>
        <w:rFonts w:ascii="Arial" w:hAnsi="Arial" w:hint="default"/>
      </w:rPr>
    </w:lvl>
    <w:lvl w:ilvl="4" w:tplc="4588D7AA" w:tentative="1">
      <w:start w:val="1"/>
      <w:numFmt w:val="bullet"/>
      <w:lvlText w:val="•"/>
      <w:lvlJc w:val="left"/>
      <w:pPr>
        <w:tabs>
          <w:tab w:val="num" w:pos="3600"/>
        </w:tabs>
        <w:ind w:left="3600" w:hanging="360"/>
      </w:pPr>
      <w:rPr>
        <w:rFonts w:ascii="Arial" w:hAnsi="Arial" w:hint="default"/>
      </w:rPr>
    </w:lvl>
    <w:lvl w:ilvl="5" w:tplc="331AB86A" w:tentative="1">
      <w:start w:val="1"/>
      <w:numFmt w:val="bullet"/>
      <w:lvlText w:val="•"/>
      <w:lvlJc w:val="left"/>
      <w:pPr>
        <w:tabs>
          <w:tab w:val="num" w:pos="4320"/>
        </w:tabs>
        <w:ind w:left="4320" w:hanging="360"/>
      </w:pPr>
      <w:rPr>
        <w:rFonts w:ascii="Arial" w:hAnsi="Arial" w:hint="default"/>
      </w:rPr>
    </w:lvl>
    <w:lvl w:ilvl="6" w:tplc="5D36589C" w:tentative="1">
      <w:start w:val="1"/>
      <w:numFmt w:val="bullet"/>
      <w:lvlText w:val="•"/>
      <w:lvlJc w:val="left"/>
      <w:pPr>
        <w:tabs>
          <w:tab w:val="num" w:pos="5040"/>
        </w:tabs>
        <w:ind w:left="5040" w:hanging="360"/>
      </w:pPr>
      <w:rPr>
        <w:rFonts w:ascii="Arial" w:hAnsi="Arial" w:hint="default"/>
      </w:rPr>
    </w:lvl>
    <w:lvl w:ilvl="7" w:tplc="B0E26802" w:tentative="1">
      <w:start w:val="1"/>
      <w:numFmt w:val="bullet"/>
      <w:lvlText w:val="•"/>
      <w:lvlJc w:val="left"/>
      <w:pPr>
        <w:tabs>
          <w:tab w:val="num" w:pos="5760"/>
        </w:tabs>
        <w:ind w:left="5760" w:hanging="360"/>
      </w:pPr>
      <w:rPr>
        <w:rFonts w:ascii="Arial" w:hAnsi="Arial" w:hint="default"/>
      </w:rPr>
    </w:lvl>
    <w:lvl w:ilvl="8" w:tplc="87FAFC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9902BB"/>
    <w:multiLevelType w:val="hybridMultilevel"/>
    <w:tmpl w:val="C798CD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5EE24D05"/>
    <w:multiLevelType w:val="hybridMultilevel"/>
    <w:tmpl w:val="F124B424"/>
    <w:lvl w:ilvl="0" w:tplc="566E2554">
      <w:start w:val="1"/>
      <w:numFmt w:val="bullet"/>
      <w:lvlText w:val="•"/>
      <w:lvlJc w:val="left"/>
      <w:pPr>
        <w:tabs>
          <w:tab w:val="num" w:pos="720"/>
        </w:tabs>
        <w:ind w:left="720" w:hanging="360"/>
      </w:pPr>
      <w:rPr>
        <w:rFonts w:ascii="Arial" w:hAnsi="Arial" w:hint="default"/>
      </w:rPr>
    </w:lvl>
    <w:lvl w:ilvl="1" w:tplc="50B6C39E">
      <w:start w:val="217"/>
      <w:numFmt w:val="bullet"/>
      <w:lvlText w:val="–"/>
      <w:lvlJc w:val="left"/>
      <w:pPr>
        <w:tabs>
          <w:tab w:val="num" w:pos="1440"/>
        </w:tabs>
        <w:ind w:left="1440" w:hanging="360"/>
      </w:pPr>
      <w:rPr>
        <w:rFonts w:ascii="Arial" w:hAnsi="Arial" w:hint="default"/>
      </w:rPr>
    </w:lvl>
    <w:lvl w:ilvl="2" w:tplc="302EDBF4" w:tentative="1">
      <w:start w:val="1"/>
      <w:numFmt w:val="bullet"/>
      <w:lvlText w:val="•"/>
      <w:lvlJc w:val="left"/>
      <w:pPr>
        <w:tabs>
          <w:tab w:val="num" w:pos="2160"/>
        </w:tabs>
        <w:ind w:left="2160" w:hanging="360"/>
      </w:pPr>
      <w:rPr>
        <w:rFonts w:ascii="Arial" w:hAnsi="Arial" w:hint="default"/>
      </w:rPr>
    </w:lvl>
    <w:lvl w:ilvl="3" w:tplc="BED8E262" w:tentative="1">
      <w:start w:val="1"/>
      <w:numFmt w:val="bullet"/>
      <w:lvlText w:val="•"/>
      <w:lvlJc w:val="left"/>
      <w:pPr>
        <w:tabs>
          <w:tab w:val="num" w:pos="2880"/>
        </w:tabs>
        <w:ind w:left="2880" w:hanging="360"/>
      </w:pPr>
      <w:rPr>
        <w:rFonts w:ascii="Arial" w:hAnsi="Arial" w:hint="default"/>
      </w:rPr>
    </w:lvl>
    <w:lvl w:ilvl="4" w:tplc="5A6E9B84" w:tentative="1">
      <w:start w:val="1"/>
      <w:numFmt w:val="bullet"/>
      <w:lvlText w:val="•"/>
      <w:lvlJc w:val="left"/>
      <w:pPr>
        <w:tabs>
          <w:tab w:val="num" w:pos="3600"/>
        </w:tabs>
        <w:ind w:left="3600" w:hanging="360"/>
      </w:pPr>
      <w:rPr>
        <w:rFonts w:ascii="Arial" w:hAnsi="Arial" w:hint="default"/>
      </w:rPr>
    </w:lvl>
    <w:lvl w:ilvl="5" w:tplc="C0B09AD6" w:tentative="1">
      <w:start w:val="1"/>
      <w:numFmt w:val="bullet"/>
      <w:lvlText w:val="•"/>
      <w:lvlJc w:val="left"/>
      <w:pPr>
        <w:tabs>
          <w:tab w:val="num" w:pos="4320"/>
        </w:tabs>
        <w:ind w:left="4320" w:hanging="360"/>
      </w:pPr>
      <w:rPr>
        <w:rFonts w:ascii="Arial" w:hAnsi="Arial" w:hint="default"/>
      </w:rPr>
    </w:lvl>
    <w:lvl w:ilvl="6" w:tplc="9878BF92" w:tentative="1">
      <w:start w:val="1"/>
      <w:numFmt w:val="bullet"/>
      <w:lvlText w:val="•"/>
      <w:lvlJc w:val="left"/>
      <w:pPr>
        <w:tabs>
          <w:tab w:val="num" w:pos="5040"/>
        </w:tabs>
        <w:ind w:left="5040" w:hanging="360"/>
      </w:pPr>
      <w:rPr>
        <w:rFonts w:ascii="Arial" w:hAnsi="Arial" w:hint="default"/>
      </w:rPr>
    </w:lvl>
    <w:lvl w:ilvl="7" w:tplc="B790BF6E" w:tentative="1">
      <w:start w:val="1"/>
      <w:numFmt w:val="bullet"/>
      <w:lvlText w:val="•"/>
      <w:lvlJc w:val="left"/>
      <w:pPr>
        <w:tabs>
          <w:tab w:val="num" w:pos="5760"/>
        </w:tabs>
        <w:ind w:left="5760" w:hanging="360"/>
      </w:pPr>
      <w:rPr>
        <w:rFonts w:ascii="Arial" w:hAnsi="Arial" w:hint="default"/>
      </w:rPr>
    </w:lvl>
    <w:lvl w:ilvl="8" w:tplc="727C8E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0153F25"/>
    <w:multiLevelType w:val="hybridMultilevel"/>
    <w:tmpl w:val="4C269BF0"/>
    <w:lvl w:ilvl="0" w:tplc="50C29B88">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4F6FFB"/>
    <w:multiLevelType w:val="hybridMultilevel"/>
    <w:tmpl w:val="85DCBF2C"/>
    <w:lvl w:ilvl="0" w:tplc="8B84D7A6">
      <w:start w:val="1"/>
      <w:numFmt w:val="bullet"/>
      <w:lvlText w:val="–"/>
      <w:lvlJc w:val="left"/>
      <w:pPr>
        <w:tabs>
          <w:tab w:val="num" w:pos="720"/>
        </w:tabs>
        <w:ind w:left="720" w:hanging="360"/>
      </w:pPr>
      <w:rPr>
        <w:rFonts w:ascii="Arial" w:hAnsi="Arial" w:hint="default"/>
      </w:rPr>
    </w:lvl>
    <w:lvl w:ilvl="1" w:tplc="A8A074C6">
      <w:start w:val="1"/>
      <w:numFmt w:val="bullet"/>
      <w:lvlText w:val="–"/>
      <w:lvlJc w:val="left"/>
      <w:pPr>
        <w:tabs>
          <w:tab w:val="num" w:pos="1440"/>
        </w:tabs>
        <w:ind w:left="1440" w:hanging="360"/>
      </w:pPr>
      <w:rPr>
        <w:rFonts w:ascii="Arial" w:hAnsi="Arial" w:hint="default"/>
      </w:rPr>
    </w:lvl>
    <w:lvl w:ilvl="2" w:tplc="3ACC2406">
      <w:start w:val="126"/>
      <w:numFmt w:val="bullet"/>
      <w:lvlText w:val="•"/>
      <w:lvlJc w:val="left"/>
      <w:pPr>
        <w:tabs>
          <w:tab w:val="num" w:pos="2160"/>
        </w:tabs>
        <w:ind w:left="2160" w:hanging="360"/>
      </w:pPr>
      <w:rPr>
        <w:rFonts w:ascii="Arial" w:hAnsi="Arial" w:hint="default"/>
      </w:rPr>
    </w:lvl>
    <w:lvl w:ilvl="3" w:tplc="4002009C">
      <w:start w:val="126"/>
      <w:numFmt w:val="bullet"/>
      <w:lvlText w:val="–"/>
      <w:lvlJc w:val="left"/>
      <w:pPr>
        <w:tabs>
          <w:tab w:val="num" w:pos="2880"/>
        </w:tabs>
        <w:ind w:left="2880" w:hanging="360"/>
      </w:pPr>
      <w:rPr>
        <w:rFonts w:ascii="Arial" w:hAnsi="Arial" w:hint="default"/>
      </w:rPr>
    </w:lvl>
    <w:lvl w:ilvl="4" w:tplc="A3C64ADA" w:tentative="1">
      <w:start w:val="1"/>
      <w:numFmt w:val="bullet"/>
      <w:lvlText w:val="–"/>
      <w:lvlJc w:val="left"/>
      <w:pPr>
        <w:tabs>
          <w:tab w:val="num" w:pos="3600"/>
        </w:tabs>
        <w:ind w:left="3600" w:hanging="360"/>
      </w:pPr>
      <w:rPr>
        <w:rFonts w:ascii="Arial" w:hAnsi="Arial" w:hint="default"/>
      </w:rPr>
    </w:lvl>
    <w:lvl w:ilvl="5" w:tplc="EE525802" w:tentative="1">
      <w:start w:val="1"/>
      <w:numFmt w:val="bullet"/>
      <w:lvlText w:val="–"/>
      <w:lvlJc w:val="left"/>
      <w:pPr>
        <w:tabs>
          <w:tab w:val="num" w:pos="4320"/>
        </w:tabs>
        <w:ind w:left="4320" w:hanging="360"/>
      </w:pPr>
      <w:rPr>
        <w:rFonts w:ascii="Arial" w:hAnsi="Arial" w:hint="default"/>
      </w:rPr>
    </w:lvl>
    <w:lvl w:ilvl="6" w:tplc="D8C0F830" w:tentative="1">
      <w:start w:val="1"/>
      <w:numFmt w:val="bullet"/>
      <w:lvlText w:val="–"/>
      <w:lvlJc w:val="left"/>
      <w:pPr>
        <w:tabs>
          <w:tab w:val="num" w:pos="5040"/>
        </w:tabs>
        <w:ind w:left="5040" w:hanging="360"/>
      </w:pPr>
      <w:rPr>
        <w:rFonts w:ascii="Arial" w:hAnsi="Arial" w:hint="default"/>
      </w:rPr>
    </w:lvl>
    <w:lvl w:ilvl="7" w:tplc="DD2430C0" w:tentative="1">
      <w:start w:val="1"/>
      <w:numFmt w:val="bullet"/>
      <w:lvlText w:val="–"/>
      <w:lvlJc w:val="left"/>
      <w:pPr>
        <w:tabs>
          <w:tab w:val="num" w:pos="5760"/>
        </w:tabs>
        <w:ind w:left="5760" w:hanging="360"/>
      </w:pPr>
      <w:rPr>
        <w:rFonts w:ascii="Arial" w:hAnsi="Arial" w:hint="default"/>
      </w:rPr>
    </w:lvl>
    <w:lvl w:ilvl="8" w:tplc="A4ACF8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1D20C6A"/>
    <w:multiLevelType w:val="hybridMultilevel"/>
    <w:tmpl w:val="DDEE9AD6"/>
    <w:lvl w:ilvl="0" w:tplc="65BC4DB8">
      <w:start w:val="1"/>
      <w:numFmt w:val="bullet"/>
      <w:lvlText w:val="•"/>
      <w:lvlJc w:val="left"/>
      <w:pPr>
        <w:tabs>
          <w:tab w:val="num" w:pos="360"/>
        </w:tabs>
        <w:ind w:left="360" w:hanging="360"/>
      </w:pPr>
      <w:rPr>
        <w:rFonts w:ascii="Arial" w:hAnsi="Arial" w:hint="default"/>
      </w:rPr>
    </w:lvl>
    <w:lvl w:ilvl="1" w:tplc="FD8A2106">
      <w:start w:val="230"/>
      <w:numFmt w:val="bullet"/>
      <w:lvlText w:val="–"/>
      <w:lvlJc w:val="left"/>
      <w:pPr>
        <w:tabs>
          <w:tab w:val="num" w:pos="1080"/>
        </w:tabs>
        <w:ind w:left="1080" w:hanging="360"/>
      </w:pPr>
      <w:rPr>
        <w:rFonts w:ascii="Arial" w:hAnsi="Arial" w:hint="default"/>
      </w:rPr>
    </w:lvl>
    <w:lvl w:ilvl="2" w:tplc="330831F0">
      <w:start w:val="1"/>
      <w:numFmt w:val="bullet"/>
      <w:lvlText w:val="•"/>
      <w:lvlJc w:val="left"/>
      <w:pPr>
        <w:tabs>
          <w:tab w:val="num" w:pos="1800"/>
        </w:tabs>
        <w:ind w:left="1800" w:hanging="360"/>
      </w:pPr>
      <w:rPr>
        <w:rFonts w:ascii="Arial" w:hAnsi="Arial" w:hint="default"/>
      </w:rPr>
    </w:lvl>
    <w:lvl w:ilvl="3" w:tplc="0D688F1C" w:tentative="1">
      <w:start w:val="1"/>
      <w:numFmt w:val="bullet"/>
      <w:lvlText w:val="•"/>
      <w:lvlJc w:val="left"/>
      <w:pPr>
        <w:tabs>
          <w:tab w:val="num" w:pos="2520"/>
        </w:tabs>
        <w:ind w:left="2520" w:hanging="360"/>
      </w:pPr>
      <w:rPr>
        <w:rFonts w:ascii="Arial" w:hAnsi="Arial" w:hint="default"/>
      </w:rPr>
    </w:lvl>
    <w:lvl w:ilvl="4" w:tplc="8B022ECC" w:tentative="1">
      <w:start w:val="1"/>
      <w:numFmt w:val="bullet"/>
      <w:lvlText w:val="•"/>
      <w:lvlJc w:val="left"/>
      <w:pPr>
        <w:tabs>
          <w:tab w:val="num" w:pos="3240"/>
        </w:tabs>
        <w:ind w:left="3240" w:hanging="360"/>
      </w:pPr>
      <w:rPr>
        <w:rFonts w:ascii="Arial" w:hAnsi="Arial" w:hint="default"/>
      </w:rPr>
    </w:lvl>
    <w:lvl w:ilvl="5" w:tplc="92E87318" w:tentative="1">
      <w:start w:val="1"/>
      <w:numFmt w:val="bullet"/>
      <w:lvlText w:val="•"/>
      <w:lvlJc w:val="left"/>
      <w:pPr>
        <w:tabs>
          <w:tab w:val="num" w:pos="3960"/>
        </w:tabs>
        <w:ind w:left="3960" w:hanging="360"/>
      </w:pPr>
      <w:rPr>
        <w:rFonts w:ascii="Arial" w:hAnsi="Arial" w:hint="default"/>
      </w:rPr>
    </w:lvl>
    <w:lvl w:ilvl="6" w:tplc="F2B231F2" w:tentative="1">
      <w:start w:val="1"/>
      <w:numFmt w:val="bullet"/>
      <w:lvlText w:val="•"/>
      <w:lvlJc w:val="left"/>
      <w:pPr>
        <w:tabs>
          <w:tab w:val="num" w:pos="4680"/>
        </w:tabs>
        <w:ind w:left="4680" w:hanging="360"/>
      </w:pPr>
      <w:rPr>
        <w:rFonts w:ascii="Arial" w:hAnsi="Arial" w:hint="default"/>
      </w:rPr>
    </w:lvl>
    <w:lvl w:ilvl="7" w:tplc="7D0EEA9E" w:tentative="1">
      <w:start w:val="1"/>
      <w:numFmt w:val="bullet"/>
      <w:lvlText w:val="•"/>
      <w:lvlJc w:val="left"/>
      <w:pPr>
        <w:tabs>
          <w:tab w:val="num" w:pos="5400"/>
        </w:tabs>
        <w:ind w:left="5400" w:hanging="360"/>
      </w:pPr>
      <w:rPr>
        <w:rFonts w:ascii="Arial" w:hAnsi="Arial" w:hint="default"/>
      </w:rPr>
    </w:lvl>
    <w:lvl w:ilvl="8" w:tplc="46D4C8E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4305571"/>
    <w:multiLevelType w:val="hybridMultilevel"/>
    <w:tmpl w:val="0CEAB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15A9F"/>
    <w:multiLevelType w:val="hybridMultilevel"/>
    <w:tmpl w:val="803CF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7E3C92"/>
    <w:multiLevelType w:val="hybridMultilevel"/>
    <w:tmpl w:val="D43EC9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83410A"/>
    <w:multiLevelType w:val="hybridMultilevel"/>
    <w:tmpl w:val="B052B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61682C"/>
    <w:multiLevelType w:val="hybridMultilevel"/>
    <w:tmpl w:val="44084CF8"/>
    <w:lvl w:ilvl="0" w:tplc="1542D13A">
      <w:start w:val="1"/>
      <w:numFmt w:val="bullet"/>
      <w:lvlText w:val="•"/>
      <w:lvlJc w:val="left"/>
      <w:pPr>
        <w:tabs>
          <w:tab w:val="num" w:pos="720"/>
        </w:tabs>
        <w:ind w:left="720" w:hanging="360"/>
      </w:pPr>
      <w:rPr>
        <w:rFonts w:ascii="Arial" w:hAnsi="Arial" w:hint="default"/>
      </w:rPr>
    </w:lvl>
    <w:lvl w:ilvl="1" w:tplc="3D64A252" w:tentative="1">
      <w:start w:val="1"/>
      <w:numFmt w:val="bullet"/>
      <w:lvlText w:val="•"/>
      <w:lvlJc w:val="left"/>
      <w:pPr>
        <w:tabs>
          <w:tab w:val="num" w:pos="1440"/>
        </w:tabs>
        <w:ind w:left="1440" w:hanging="360"/>
      </w:pPr>
      <w:rPr>
        <w:rFonts w:ascii="Arial" w:hAnsi="Arial" w:hint="default"/>
      </w:rPr>
    </w:lvl>
    <w:lvl w:ilvl="2" w:tplc="BEA09934" w:tentative="1">
      <w:start w:val="1"/>
      <w:numFmt w:val="bullet"/>
      <w:lvlText w:val="•"/>
      <w:lvlJc w:val="left"/>
      <w:pPr>
        <w:tabs>
          <w:tab w:val="num" w:pos="2160"/>
        </w:tabs>
        <w:ind w:left="2160" w:hanging="360"/>
      </w:pPr>
      <w:rPr>
        <w:rFonts w:ascii="Arial" w:hAnsi="Arial" w:hint="default"/>
      </w:rPr>
    </w:lvl>
    <w:lvl w:ilvl="3" w:tplc="EE6AF73E" w:tentative="1">
      <w:start w:val="1"/>
      <w:numFmt w:val="bullet"/>
      <w:lvlText w:val="•"/>
      <w:lvlJc w:val="left"/>
      <w:pPr>
        <w:tabs>
          <w:tab w:val="num" w:pos="2880"/>
        </w:tabs>
        <w:ind w:left="2880" w:hanging="360"/>
      </w:pPr>
      <w:rPr>
        <w:rFonts w:ascii="Arial" w:hAnsi="Arial" w:hint="default"/>
      </w:rPr>
    </w:lvl>
    <w:lvl w:ilvl="4" w:tplc="D0C22F22" w:tentative="1">
      <w:start w:val="1"/>
      <w:numFmt w:val="bullet"/>
      <w:lvlText w:val="•"/>
      <w:lvlJc w:val="left"/>
      <w:pPr>
        <w:tabs>
          <w:tab w:val="num" w:pos="3600"/>
        </w:tabs>
        <w:ind w:left="3600" w:hanging="360"/>
      </w:pPr>
      <w:rPr>
        <w:rFonts w:ascii="Arial" w:hAnsi="Arial" w:hint="default"/>
      </w:rPr>
    </w:lvl>
    <w:lvl w:ilvl="5" w:tplc="B9044512" w:tentative="1">
      <w:start w:val="1"/>
      <w:numFmt w:val="bullet"/>
      <w:lvlText w:val="•"/>
      <w:lvlJc w:val="left"/>
      <w:pPr>
        <w:tabs>
          <w:tab w:val="num" w:pos="4320"/>
        </w:tabs>
        <w:ind w:left="4320" w:hanging="360"/>
      </w:pPr>
      <w:rPr>
        <w:rFonts w:ascii="Arial" w:hAnsi="Arial" w:hint="default"/>
      </w:rPr>
    </w:lvl>
    <w:lvl w:ilvl="6" w:tplc="13089E6E" w:tentative="1">
      <w:start w:val="1"/>
      <w:numFmt w:val="bullet"/>
      <w:lvlText w:val="•"/>
      <w:lvlJc w:val="left"/>
      <w:pPr>
        <w:tabs>
          <w:tab w:val="num" w:pos="5040"/>
        </w:tabs>
        <w:ind w:left="5040" w:hanging="360"/>
      </w:pPr>
      <w:rPr>
        <w:rFonts w:ascii="Arial" w:hAnsi="Arial" w:hint="default"/>
      </w:rPr>
    </w:lvl>
    <w:lvl w:ilvl="7" w:tplc="771A9E30" w:tentative="1">
      <w:start w:val="1"/>
      <w:numFmt w:val="bullet"/>
      <w:lvlText w:val="•"/>
      <w:lvlJc w:val="left"/>
      <w:pPr>
        <w:tabs>
          <w:tab w:val="num" w:pos="5760"/>
        </w:tabs>
        <w:ind w:left="5760" w:hanging="360"/>
      </w:pPr>
      <w:rPr>
        <w:rFonts w:ascii="Arial" w:hAnsi="Arial" w:hint="default"/>
      </w:rPr>
    </w:lvl>
    <w:lvl w:ilvl="8" w:tplc="121048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2A56291"/>
    <w:multiLevelType w:val="hybridMultilevel"/>
    <w:tmpl w:val="4CEECA1E"/>
    <w:lvl w:ilvl="0" w:tplc="89C0F69E">
      <w:start w:val="1"/>
      <w:numFmt w:val="bullet"/>
      <w:lvlText w:val="•"/>
      <w:lvlJc w:val="left"/>
      <w:pPr>
        <w:tabs>
          <w:tab w:val="num" w:pos="720"/>
        </w:tabs>
        <w:ind w:left="720" w:hanging="360"/>
      </w:pPr>
      <w:rPr>
        <w:rFonts w:ascii="Arial" w:hAnsi="Arial" w:hint="default"/>
      </w:rPr>
    </w:lvl>
    <w:lvl w:ilvl="1" w:tplc="C686BADA" w:tentative="1">
      <w:start w:val="1"/>
      <w:numFmt w:val="bullet"/>
      <w:lvlText w:val="•"/>
      <w:lvlJc w:val="left"/>
      <w:pPr>
        <w:tabs>
          <w:tab w:val="num" w:pos="1440"/>
        </w:tabs>
        <w:ind w:left="1440" w:hanging="360"/>
      </w:pPr>
      <w:rPr>
        <w:rFonts w:ascii="Arial" w:hAnsi="Arial" w:hint="default"/>
      </w:rPr>
    </w:lvl>
    <w:lvl w:ilvl="2" w:tplc="F30247F0" w:tentative="1">
      <w:start w:val="1"/>
      <w:numFmt w:val="bullet"/>
      <w:lvlText w:val="•"/>
      <w:lvlJc w:val="left"/>
      <w:pPr>
        <w:tabs>
          <w:tab w:val="num" w:pos="2160"/>
        </w:tabs>
        <w:ind w:left="2160" w:hanging="360"/>
      </w:pPr>
      <w:rPr>
        <w:rFonts w:ascii="Arial" w:hAnsi="Arial" w:hint="default"/>
      </w:rPr>
    </w:lvl>
    <w:lvl w:ilvl="3" w:tplc="22E87226" w:tentative="1">
      <w:start w:val="1"/>
      <w:numFmt w:val="bullet"/>
      <w:lvlText w:val="•"/>
      <w:lvlJc w:val="left"/>
      <w:pPr>
        <w:tabs>
          <w:tab w:val="num" w:pos="2880"/>
        </w:tabs>
        <w:ind w:left="2880" w:hanging="360"/>
      </w:pPr>
      <w:rPr>
        <w:rFonts w:ascii="Arial" w:hAnsi="Arial" w:hint="default"/>
      </w:rPr>
    </w:lvl>
    <w:lvl w:ilvl="4" w:tplc="9616460E" w:tentative="1">
      <w:start w:val="1"/>
      <w:numFmt w:val="bullet"/>
      <w:lvlText w:val="•"/>
      <w:lvlJc w:val="left"/>
      <w:pPr>
        <w:tabs>
          <w:tab w:val="num" w:pos="3600"/>
        </w:tabs>
        <w:ind w:left="3600" w:hanging="360"/>
      </w:pPr>
      <w:rPr>
        <w:rFonts w:ascii="Arial" w:hAnsi="Arial" w:hint="default"/>
      </w:rPr>
    </w:lvl>
    <w:lvl w:ilvl="5" w:tplc="D2801F66" w:tentative="1">
      <w:start w:val="1"/>
      <w:numFmt w:val="bullet"/>
      <w:lvlText w:val="•"/>
      <w:lvlJc w:val="left"/>
      <w:pPr>
        <w:tabs>
          <w:tab w:val="num" w:pos="4320"/>
        </w:tabs>
        <w:ind w:left="4320" w:hanging="360"/>
      </w:pPr>
      <w:rPr>
        <w:rFonts w:ascii="Arial" w:hAnsi="Arial" w:hint="default"/>
      </w:rPr>
    </w:lvl>
    <w:lvl w:ilvl="6" w:tplc="D9F2C490" w:tentative="1">
      <w:start w:val="1"/>
      <w:numFmt w:val="bullet"/>
      <w:lvlText w:val="•"/>
      <w:lvlJc w:val="left"/>
      <w:pPr>
        <w:tabs>
          <w:tab w:val="num" w:pos="5040"/>
        </w:tabs>
        <w:ind w:left="5040" w:hanging="360"/>
      </w:pPr>
      <w:rPr>
        <w:rFonts w:ascii="Arial" w:hAnsi="Arial" w:hint="default"/>
      </w:rPr>
    </w:lvl>
    <w:lvl w:ilvl="7" w:tplc="3CC4AECE" w:tentative="1">
      <w:start w:val="1"/>
      <w:numFmt w:val="bullet"/>
      <w:lvlText w:val="•"/>
      <w:lvlJc w:val="left"/>
      <w:pPr>
        <w:tabs>
          <w:tab w:val="num" w:pos="5760"/>
        </w:tabs>
        <w:ind w:left="5760" w:hanging="360"/>
      </w:pPr>
      <w:rPr>
        <w:rFonts w:ascii="Arial" w:hAnsi="Arial" w:hint="default"/>
      </w:rPr>
    </w:lvl>
    <w:lvl w:ilvl="8" w:tplc="80B2BB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C71936"/>
    <w:multiLevelType w:val="multilevel"/>
    <w:tmpl w:val="30942B3C"/>
    <w:lvl w:ilvl="0">
      <w:start w:val="1"/>
      <w:numFmt w:val="decimal"/>
      <w:pStyle w:val="Heading1"/>
      <w:lvlText w:val="%1"/>
      <w:lvlJc w:val="left"/>
      <w:pPr>
        <w:tabs>
          <w:tab w:val="num" w:pos="-113"/>
        </w:tabs>
        <w:ind w:left="2438" w:hanging="1304"/>
      </w:pPr>
      <w:rPr>
        <w:rFonts w:hint="default"/>
        <w:u w:val="none"/>
      </w:rPr>
    </w:lvl>
    <w:lvl w:ilvl="1">
      <w:start w:val="1"/>
      <w:numFmt w:val="decimal"/>
      <w:pStyle w:val="Heading2"/>
      <w:lvlText w:val="%1.%2"/>
      <w:lvlJc w:val="left"/>
      <w:pPr>
        <w:tabs>
          <w:tab w:val="num" w:pos="-821"/>
        </w:tabs>
        <w:ind w:left="1730" w:hanging="1304"/>
      </w:pPr>
      <w:rPr>
        <w:rFonts w:hint="default"/>
        <w:color w:val="000000"/>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6" w15:restartNumberingAfterBreak="0">
    <w:nsid w:val="74437FF6"/>
    <w:multiLevelType w:val="hybridMultilevel"/>
    <w:tmpl w:val="C77EAC18"/>
    <w:lvl w:ilvl="0" w:tplc="7F80DFCA">
      <w:start w:val="1"/>
      <w:numFmt w:val="bullet"/>
      <w:lvlText w:val="•"/>
      <w:lvlJc w:val="left"/>
      <w:pPr>
        <w:tabs>
          <w:tab w:val="num" w:pos="720"/>
        </w:tabs>
        <w:ind w:left="720" w:hanging="360"/>
      </w:pPr>
      <w:rPr>
        <w:rFonts w:ascii="Arial" w:hAnsi="Arial" w:hint="default"/>
      </w:rPr>
    </w:lvl>
    <w:lvl w:ilvl="1" w:tplc="FA924BD2" w:tentative="1">
      <w:start w:val="1"/>
      <w:numFmt w:val="bullet"/>
      <w:lvlText w:val="•"/>
      <w:lvlJc w:val="left"/>
      <w:pPr>
        <w:tabs>
          <w:tab w:val="num" w:pos="1440"/>
        </w:tabs>
        <w:ind w:left="1440" w:hanging="360"/>
      </w:pPr>
      <w:rPr>
        <w:rFonts w:ascii="Arial" w:hAnsi="Arial" w:hint="default"/>
      </w:rPr>
    </w:lvl>
    <w:lvl w:ilvl="2" w:tplc="166EE164" w:tentative="1">
      <w:start w:val="1"/>
      <w:numFmt w:val="bullet"/>
      <w:lvlText w:val="•"/>
      <w:lvlJc w:val="left"/>
      <w:pPr>
        <w:tabs>
          <w:tab w:val="num" w:pos="2160"/>
        </w:tabs>
        <w:ind w:left="2160" w:hanging="360"/>
      </w:pPr>
      <w:rPr>
        <w:rFonts w:ascii="Arial" w:hAnsi="Arial" w:hint="default"/>
      </w:rPr>
    </w:lvl>
    <w:lvl w:ilvl="3" w:tplc="56FA0F4A" w:tentative="1">
      <w:start w:val="1"/>
      <w:numFmt w:val="bullet"/>
      <w:lvlText w:val="•"/>
      <w:lvlJc w:val="left"/>
      <w:pPr>
        <w:tabs>
          <w:tab w:val="num" w:pos="2880"/>
        </w:tabs>
        <w:ind w:left="2880" w:hanging="360"/>
      </w:pPr>
      <w:rPr>
        <w:rFonts w:ascii="Arial" w:hAnsi="Arial" w:hint="default"/>
      </w:rPr>
    </w:lvl>
    <w:lvl w:ilvl="4" w:tplc="F5EAC606" w:tentative="1">
      <w:start w:val="1"/>
      <w:numFmt w:val="bullet"/>
      <w:lvlText w:val="•"/>
      <w:lvlJc w:val="left"/>
      <w:pPr>
        <w:tabs>
          <w:tab w:val="num" w:pos="3600"/>
        </w:tabs>
        <w:ind w:left="3600" w:hanging="360"/>
      </w:pPr>
      <w:rPr>
        <w:rFonts w:ascii="Arial" w:hAnsi="Arial" w:hint="default"/>
      </w:rPr>
    </w:lvl>
    <w:lvl w:ilvl="5" w:tplc="85C20A44" w:tentative="1">
      <w:start w:val="1"/>
      <w:numFmt w:val="bullet"/>
      <w:lvlText w:val="•"/>
      <w:lvlJc w:val="left"/>
      <w:pPr>
        <w:tabs>
          <w:tab w:val="num" w:pos="4320"/>
        </w:tabs>
        <w:ind w:left="4320" w:hanging="360"/>
      </w:pPr>
      <w:rPr>
        <w:rFonts w:ascii="Arial" w:hAnsi="Arial" w:hint="default"/>
      </w:rPr>
    </w:lvl>
    <w:lvl w:ilvl="6" w:tplc="402EB99A" w:tentative="1">
      <w:start w:val="1"/>
      <w:numFmt w:val="bullet"/>
      <w:lvlText w:val="•"/>
      <w:lvlJc w:val="left"/>
      <w:pPr>
        <w:tabs>
          <w:tab w:val="num" w:pos="5040"/>
        </w:tabs>
        <w:ind w:left="5040" w:hanging="360"/>
      </w:pPr>
      <w:rPr>
        <w:rFonts w:ascii="Arial" w:hAnsi="Arial" w:hint="default"/>
      </w:rPr>
    </w:lvl>
    <w:lvl w:ilvl="7" w:tplc="E894013A" w:tentative="1">
      <w:start w:val="1"/>
      <w:numFmt w:val="bullet"/>
      <w:lvlText w:val="•"/>
      <w:lvlJc w:val="left"/>
      <w:pPr>
        <w:tabs>
          <w:tab w:val="num" w:pos="5760"/>
        </w:tabs>
        <w:ind w:left="5760" w:hanging="360"/>
      </w:pPr>
      <w:rPr>
        <w:rFonts w:ascii="Arial" w:hAnsi="Arial" w:hint="default"/>
      </w:rPr>
    </w:lvl>
    <w:lvl w:ilvl="8" w:tplc="6688DE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E4E01"/>
    <w:multiLevelType w:val="hybridMultilevel"/>
    <w:tmpl w:val="619ABBE0"/>
    <w:lvl w:ilvl="0" w:tplc="50C29B88">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68309E"/>
    <w:multiLevelType w:val="hybridMultilevel"/>
    <w:tmpl w:val="719CDB1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num w:numId="1">
    <w:abstractNumId w:val="10"/>
  </w:num>
  <w:num w:numId="2">
    <w:abstractNumId w:val="28"/>
  </w:num>
  <w:num w:numId="3">
    <w:abstractNumId w:val="14"/>
  </w:num>
  <w:num w:numId="4">
    <w:abstractNumId w:val="16"/>
  </w:num>
  <w:num w:numId="5">
    <w:abstractNumId w:val="10"/>
  </w:num>
  <w:num w:numId="6">
    <w:abstractNumId w:val="27"/>
  </w:num>
  <w:num w:numId="7">
    <w:abstractNumId w:val="21"/>
  </w:num>
  <w:num w:numId="8">
    <w:abstractNumId w:val="25"/>
  </w:num>
  <w:num w:numId="9">
    <w:abstractNumId w:val="2"/>
  </w:num>
  <w:num w:numId="10">
    <w:abstractNumId w:val="24"/>
  </w:num>
  <w:num w:numId="11">
    <w:abstractNumId w:val="13"/>
  </w:num>
  <w:num w:numId="12">
    <w:abstractNumId w:val="18"/>
  </w:num>
  <w:num w:numId="13">
    <w:abstractNumId w:val="25"/>
  </w:num>
  <w:num w:numId="14">
    <w:abstractNumId w:val="25"/>
  </w:num>
  <w:num w:numId="15">
    <w:abstractNumId w:val="5"/>
  </w:num>
  <w:num w:numId="16">
    <w:abstractNumId w:val="20"/>
  </w:num>
  <w:num w:numId="17">
    <w:abstractNumId w:val="12"/>
  </w:num>
  <w:num w:numId="18">
    <w:abstractNumId w:val="22"/>
  </w:num>
  <w:num w:numId="19">
    <w:abstractNumId w:val="9"/>
  </w:num>
  <w:num w:numId="20">
    <w:abstractNumId w:val="23"/>
  </w:num>
  <w:num w:numId="21">
    <w:abstractNumId w:val="4"/>
  </w:num>
  <w:num w:numId="22">
    <w:abstractNumId w:val="15"/>
  </w:num>
  <w:num w:numId="23">
    <w:abstractNumId w:val="1"/>
  </w:num>
  <w:num w:numId="24">
    <w:abstractNumId w:val="26"/>
  </w:num>
  <w:num w:numId="25">
    <w:abstractNumId w:val="3"/>
  </w:num>
  <w:num w:numId="26">
    <w:abstractNumId w:val="7"/>
  </w:num>
  <w:num w:numId="27">
    <w:abstractNumId w:val="11"/>
  </w:num>
  <w:num w:numId="28">
    <w:abstractNumId w:val="6"/>
  </w:num>
  <w:num w:numId="29">
    <w:abstractNumId w:val="25"/>
  </w:num>
  <w:num w:numId="30">
    <w:abstractNumId w:val="8"/>
  </w:num>
  <w:num w:numId="31">
    <w:abstractNumId w:val="17"/>
  </w:num>
  <w:num w:numId="32">
    <w:abstractNumId w:val="19"/>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6A0"/>
    <w:rsid w:val="0000170C"/>
    <w:rsid w:val="00027AF3"/>
    <w:rsid w:val="00035E24"/>
    <w:rsid w:val="00045ACE"/>
    <w:rsid w:val="00054938"/>
    <w:rsid w:val="00084AAB"/>
    <w:rsid w:val="00090560"/>
    <w:rsid w:val="000C4B0D"/>
    <w:rsid w:val="000C4DBB"/>
    <w:rsid w:val="000D1261"/>
    <w:rsid w:val="000E38CB"/>
    <w:rsid w:val="000E69FA"/>
    <w:rsid w:val="000F23BC"/>
    <w:rsid w:val="00104C3E"/>
    <w:rsid w:val="00110066"/>
    <w:rsid w:val="00135CCC"/>
    <w:rsid w:val="00163F82"/>
    <w:rsid w:val="00174998"/>
    <w:rsid w:val="001773B9"/>
    <w:rsid w:val="00190BFF"/>
    <w:rsid w:val="00190C66"/>
    <w:rsid w:val="00194AC7"/>
    <w:rsid w:val="001A30B2"/>
    <w:rsid w:val="001A61B9"/>
    <w:rsid w:val="001B2D56"/>
    <w:rsid w:val="001B3D7B"/>
    <w:rsid w:val="001D2771"/>
    <w:rsid w:val="001D50F0"/>
    <w:rsid w:val="001E46A0"/>
    <w:rsid w:val="0020415A"/>
    <w:rsid w:val="00243B72"/>
    <w:rsid w:val="00261348"/>
    <w:rsid w:val="0027261C"/>
    <w:rsid w:val="002A3159"/>
    <w:rsid w:val="002D5AF8"/>
    <w:rsid w:val="002D69BD"/>
    <w:rsid w:val="002E575E"/>
    <w:rsid w:val="002E5C90"/>
    <w:rsid w:val="002F3472"/>
    <w:rsid w:val="003110E9"/>
    <w:rsid w:val="00320104"/>
    <w:rsid w:val="0032050A"/>
    <w:rsid w:val="00321C2A"/>
    <w:rsid w:val="00321DE7"/>
    <w:rsid w:val="0032543B"/>
    <w:rsid w:val="0034088E"/>
    <w:rsid w:val="00354A63"/>
    <w:rsid w:val="003558D7"/>
    <w:rsid w:val="0036118D"/>
    <w:rsid w:val="00384465"/>
    <w:rsid w:val="003846B8"/>
    <w:rsid w:val="00391FE8"/>
    <w:rsid w:val="00392683"/>
    <w:rsid w:val="003A4701"/>
    <w:rsid w:val="003A57C1"/>
    <w:rsid w:val="003B7BA5"/>
    <w:rsid w:val="00404DEE"/>
    <w:rsid w:val="00410BE3"/>
    <w:rsid w:val="004139DA"/>
    <w:rsid w:val="004179EE"/>
    <w:rsid w:val="00426FBA"/>
    <w:rsid w:val="0043359F"/>
    <w:rsid w:val="00453FA0"/>
    <w:rsid w:val="00461950"/>
    <w:rsid w:val="00470987"/>
    <w:rsid w:val="0047272D"/>
    <w:rsid w:val="0047501A"/>
    <w:rsid w:val="00483663"/>
    <w:rsid w:val="004839E5"/>
    <w:rsid w:val="0049764D"/>
    <w:rsid w:val="004A1D79"/>
    <w:rsid w:val="004C099D"/>
    <w:rsid w:val="004C420D"/>
    <w:rsid w:val="004D52B6"/>
    <w:rsid w:val="004F1D92"/>
    <w:rsid w:val="004F572D"/>
    <w:rsid w:val="00504A15"/>
    <w:rsid w:val="005111C0"/>
    <w:rsid w:val="00513D73"/>
    <w:rsid w:val="00526F24"/>
    <w:rsid w:val="00533DF7"/>
    <w:rsid w:val="005416A9"/>
    <w:rsid w:val="005417E5"/>
    <w:rsid w:val="005507F3"/>
    <w:rsid w:val="00552DF7"/>
    <w:rsid w:val="00554DE8"/>
    <w:rsid w:val="00565314"/>
    <w:rsid w:val="005740E2"/>
    <w:rsid w:val="00577DBF"/>
    <w:rsid w:val="0058249D"/>
    <w:rsid w:val="00582697"/>
    <w:rsid w:val="005910B9"/>
    <w:rsid w:val="005C205A"/>
    <w:rsid w:val="005E2400"/>
    <w:rsid w:val="005E4A7B"/>
    <w:rsid w:val="005F3F3A"/>
    <w:rsid w:val="005F570C"/>
    <w:rsid w:val="00623F2B"/>
    <w:rsid w:val="00624771"/>
    <w:rsid w:val="00655012"/>
    <w:rsid w:val="00657CBE"/>
    <w:rsid w:val="00667973"/>
    <w:rsid w:val="006953E7"/>
    <w:rsid w:val="006B4E4E"/>
    <w:rsid w:val="006C654B"/>
    <w:rsid w:val="00743561"/>
    <w:rsid w:val="00743D59"/>
    <w:rsid w:val="00751065"/>
    <w:rsid w:val="0075360B"/>
    <w:rsid w:val="007670FD"/>
    <w:rsid w:val="0077064F"/>
    <w:rsid w:val="00772C50"/>
    <w:rsid w:val="007942C4"/>
    <w:rsid w:val="007945CB"/>
    <w:rsid w:val="007A6F3B"/>
    <w:rsid w:val="007A7452"/>
    <w:rsid w:val="007B1220"/>
    <w:rsid w:val="007B25D7"/>
    <w:rsid w:val="007B595E"/>
    <w:rsid w:val="007C0BED"/>
    <w:rsid w:val="007E092D"/>
    <w:rsid w:val="007F4A7C"/>
    <w:rsid w:val="00812310"/>
    <w:rsid w:val="00812376"/>
    <w:rsid w:val="00816FA7"/>
    <w:rsid w:val="00820725"/>
    <w:rsid w:val="0082422D"/>
    <w:rsid w:val="00830D15"/>
    <w:rsid w:val="00832E03"/>
    <w:rsid w:val="00841E7E"/>
    <w:rsid w:val="008640D0"/>
    <w:rsid w:val="00864765"/>
    <w:rsid w:val="008650C7"/>
    <w:rsid w:val="00873243"/>
    <w:rsid w:val="00875367"/>
    <w:rsid w:val="00884EE3"/>
    <w:rsid w:val="008A4FDE"/>
    <w:rsid w:val="008A5AC7"/>
    <w:rsid w:val="008C06A7"/>
    <w:rsid w:val="008C619A"/>
    <w:rsid w:val="008D41AA"/>
    <w:rsid w:val="008D4832"/>
    <w:rsid w:val="008F3FA2"/>
    <w:rsid w:val="008F7A40"/>
    <w:rsid w:val="009005F5"/>
    <w:rsid w:val="009013DB"/>
    <w:rsid w:val="00903C73"/>
    <w:rsid w:val="00923120"/>
    <w:rsid w:val="0094113D"/>
    <w:rsid w:val="0094536B"/>
    <w:rsid w:val="00951B8C"/>
    <w:rsid w:val="00974611"/>
    <w:rsid w:val="00980558"/>
    <w:rsid w:val="00987446"/>
    <w:rsid w:val="009A28CA"/>
    <w:rsid w:val="009A3E77"/>
    <w:rsid w:val="009A5590"/>
    <w:rsid w:val="009D7CA2"/>
    <w:rsid w:val="009E2A73"/>
    <w:rsid w:val="009E462D"/>
    <w:rsid w:val="009F7232"/>
    <w:rsid w:val="009F748E"/>
    <w:rsid w:val="00A067C1"/>
    <w:rsid w:val="00A160C1"/>
    <w:rsid w:val="00A23CAF"/>
    <w:rsid w:val="00A4088D"/>
    <w:rsid w:val="00A54965"/>
    <w:rsid w:val="00A608BE"/>
    <w:rsid w:val="00A853D4"/>
    <w:rsid w:val="00A96129"/>
    <w:rsid w:val="00AA4BC4"/>
    <w:rsid w:val="00AB37F9"/>
    <w:rsid w:val="00AC1EA5"/>
    <w:rsid w:val="00AC4F93"/>
    <w:rsid w:val="00AE3AD8"/>
    <w:rsid w:val="00AE7EB6"/>
    <w:rsid w:val="00B31130"/>
    <w:rsid w:val="00B32D07"/>
    <w:rsid w:val="00B50959"/>
    <w:rsid w:val="00B511AF"/>
    <w:rsid w:val="00B519D8"/>
    <w:rsid w:val="00B54BBB"/>
    <w:rsid w:val="00B73F06"/>
    <w:rsid w:val="00B74C09"/>
    <w:rsid w:val="00B84C97"/>
    <w:rsid w:val="00B84DF0"/>
    <w:rsid w:val="00B90FCB"/>
    <w:rsid w:val="00BA07BD"/>
    <w:rsid w:val="00BA4430"/>
    <w:rsid w:val="00BB6B30"/>
    <w:rsid w:val="00BC2FE6"/>
    <w:rsid w:val="00BC4148"/>
    <w:rsid w:val="00BC64F9"/>
    <w:rsid w:val="00BD30F2"/>
    <w:rsid w:val="00BE375C"/>
    <w:rsid w:val="00BF0E51"/>
    <w:rsid w:val="00C10C7E"/>
    <w:rsid w:val="00C14D8F"/>
    <w:rsid w:val="00C36BDA"/>
    <w:rsid w:val="00C43AB1"/>
    <w:rsid w:val="00C548C8"/>
    <w:rsid w:val="00C57AAB"/>
    <w:rsid w:val="00C70B3F"/>
    <w:rsid w:val="00C7450B"/>
    <w:rsid w:val="00C84685"/>
    <w:rsid w:val="00C90E84"/>
    <w:rsid w:val="00C97667"/>
    <w:rsid w:val="00CA7C38"/>
    <w:rsid w:val="00CB779A"/>
    <w:rsid w:val="00CF0D23"/>
    <w:rsid w:val="00CF147D"/>
    <w:rsid w:val="00CF69E4"/>
    <w:rsid w:val="00D11543"/>
    <w:rsid w:val="00D32C74"/>
    <w:rsid w:val="00D33948"/>
    <w:rsid w:val="00D52062"/>
    <w:rsid w:val="00D6668B"/>
    <w:rsid w:val="00D8524F"/>
    <w:rsid w:val="00DA26B3"/>
    <w:rsid w:val="00DB576B"/>
    <w:rsid w:val="00DB7509"/>
    <w:rsid w:val="00DD4EA8"/>
    <w:rsid w:val="00DE49B8"/>
    <w:rsid w:val="00DF1682"/>
    <w:rsid w:val="00E03919"/>
    <w:rsid w:val="00E12FD5"/>
    <w:rsid w:val="00E265C3"/>
    <w:rsid w:val="00E40ACD"/>
    <w:rsid w:val="00E52E1D"/>
    <w:rsid w:val="00E6164E"/>
    <w:rsid w:val="00E62995"/>
    <w:rsid w:val="00E80AC3"/>
    <w:rsid w:val="00E850D6"/>
    <w:rsid w:val="00E9287B"/>
    <w:rsid w:val="00E97F25"/>
    <w:rsid w:val="00EC5B0D"/>
    <w:rsid w:val="00EC6E97"/>
    <w:rsid w:val="00F01CA2"/>
    <w:rsid w:val="00F10B17"/>
    <w:rsid w:val="00F1632E"/>
    <w:rsid w:val="00F309D0"/>
    <w:rsid w:val="00F3611B"/>
    <w:rsid w:val="00F82E2C"/>
    <w:rsid w:val="00F86F53"/>
    <w:rsid w:val="00FA4C33"/>
    <w:rsid w:val="00FB35DA"/>
    <w:rsid w:val="00FD7069"/>
    <w:rsid w:val="00FF55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159B88-5A85-4E53-888A-F760AF61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6A0"/>
    <w:pPr>
      <w:jc w:val="both"/>
    </w:pPr>
    <w:rPr>
      <w:sz w:val="21"/>
      <w:szCs w:val="21"/>
      <w:lang w:eastAsia="ko-KR"/>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rsid w:val="007F4A7C"/>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7F4A7C"/>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
    <w:basedOn w:val="Heading2"/>
    <w:next w:val="Normal"/>
    <w:link w:val="Heading3Char"/>
    <w:qFormat/>
    <w:rsid w:val="007F4A7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7F4A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4A7C"/>
    <w:pPr>
      <w:numPr>
        <w:ilvl w:val="4"/>
      </w:numPr>
      <w:outlineLvl w:val="4"/>
    </w:pPr>
    <w:rPr>
      <w:sz w:val="22"/>
    </w:rPr>
  </w:style>
  <w:style w:type="paragraph" w:styleId="Heading6">
    <w:name w:val="heading 6"/>
    <w:basedOn w:val="Normal"/>
    <w:next w:val="Normal"/>
    <w:link w:val="Heading6Char"/>
    <w:qFormat/>
    <w:rsid w:val="007F4A7C"/>
    <w:pPr>
      <w:keepNext/>
      <w:keepLines/>
      <w:numPr>
        <w:ilvl w:val="5"/>
        <w:numId w:val="8"/>
      </w:numPr>
      <w:spacing w:before="120" w:after="180"/>
      <w:jc w:val="left"/>
      <w:outlineLvl w:val="5"/>
    </w:pPr>
    <w:rPr>
      <w:rFonts w:ascii="Arial" w:hAnsi="Arial"/>
      <w:sz w:val="20"/>
      <w:szCs w:val="20"/>
      <w:lang w:val="en-GB" w:eastAsia="en-US"/>
    </w:rPr>
  </w:style>
  <w:style w:type="paragraph" w:styleId="Heading7">
    <w:name w:val="heading 7"/>
    <w:basedOn w:val="Normal"/>
    <w:next w:val="Normal"/>
    <w:link w:val="Heading7Char"/>
    <w:qFormat/>
    <w:rsid w:val="007F4A7C"/>
    <w:pPr>
      <w:keepNext/>
      <w:keepLines/>
      <w:numPr>
        <w:ilvl w:val="6"/>
        <w:numId w:val="8"/>
      </w:numPr>
      <w:spacing w:before="120" w:after="180"/>
      <w:jc w:val="left"/>
      <w:outlineLvl w:val="6"/>
    </w:pPr>
    <w:rPr>
      <w:rFonts w:ascii="Arial" w:hAnsi="Arial"/>
      <w:sz w:val="20"/>
      <w:szCs w:val="20"/>
      <w:lang w:val="en-GB" w:eastAsia="en-US"/>
    </w:rPr>
  </w:style>
  <w:style w:type="paragraph" w:styleId="Heading8">
    <w:name w:val="heading 8"/>
    <w:basedOn w:val="Heading1"/>
    <w:next w:val="Normal"/>
    <w:link w:val="Heading8Char"/>
    <w:qFormat/>
    <w:rsid w:val="007F4A7C"/>
    <w:pPr>
      <w:numPr>
        <w:ilvl w:val="7"/>
      </w:numPr>
      <w:outlineLvl w:val="7"/>
    </w:pPr>
  </w:style>
  <w:style w:type="paragraph" w:styleId="Heading9">
    <w:name w:val="heading 9"/>
    <w:basedOn w:val="Heading8"/>
    <w:next w:val="Normal"/>
    <w:link w:val="Heading9Char"/>
    <w:qFormat/>
    <w:rsid w:val="007F4A7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locked/>
    <w:rsid w:val="001E46A0"/>
  </w:style>
  <w:style w:type="paragraph" w:styleId="ListParagraph">
    <w:name w:val="List Paragraph"/>
    <w:basedOn w:val="Normal"/>
    <w:link w:val="ListParagraphChar"/>
    <w:uiPriority w:val="34"/>
    <w:qFormat/>
    <w:rsid w:val="001E46A0"/>
    <w:pPr>
      <w:ind w:firstLine="420"/>
    </w:pPr>
    <w:rPr>
      <w:sz w:val="22"/>
      <w:szCs w:val="22"/>
    </w:rPr>
  </w:style>
  <w:style w:type="paragraph" w:customStyle="1" w:styleId="NumberedList">
    <w:name w:val="Numbered List"/>
    <w:basedOn w:val="ListParagraph"/>
    <w:link w:val="NumberedListChar"/>
    <w:qFormat/>
    <w:rsid w:val="001E46A0"/>
    <w:pPr>
      <w:tabs>
        <w:tab w:val="left" w:pos="720"/>
      </w:tabs>
      <w:overflowPunct w:val="0"/>
      <w:autoSpaceDE w:val="0"/>
      <w:autoSpaceDN w:val="0"/>
      <w:adjustRightInd w:val="0"/>
      <w:spacing w:after="180"/>
      <w:ind w:firstLine="0"/>
      <w:jc w:val="left"/>
      <w:textAlignment w:val="baseline"/>
    </w:pPr>
    <w:rPr>
      <w:rFonts w:ascii="Times New Roman" w:eastAsia="Times New Roman" w:hAnsi="Times New Roman"/>
      <w:sz w:val="20"/>
      <w:szCs w:val="20"/>
      <w:lang w:val="en-GB" w:eastAsia="en-GB"/>
    </w:rPr>
  </w:style>
  <w:style w:type="character" w:customStyle="1" w:styleId="NumberedListChar">
    <w:name w:val="Numbered List Char"/>
    <w:link w:val="NumberedList"/>
    <w:rsid w:val="001E46A0"/>
    <w:rPr>
      <w:rFonts w:ascii="Times New Roman" w:eastAsia="Times New Roman" w:hAnsi="Times New Roman" w:cs="Times New Roman"/>
      <w:sz w:val="20"/>
      <w:szCs w:val="20"/>
      <w:lang w:val="en-GB" w:eastAsia="en-GB"/>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rsid w:val="007F4A7C"/>
    <w:rPr>
      <w:rFonts w:ascii="Arial" w:eastAsia="Malgun Gothic" w:hAnsi="Arial" w:cs="Times New Roman"/>
      <w:sz w:val="36"/>
      <w:szCs w:val="20"/>
      <w:lang w:val="en-GB" w:eastAsia="en-US"/>
    </w:rPr>
  </w:style>
  <w:style w:type="character" w:customStyle="1" w:styleId="Heading2Char">
    <w:name w:val="Heading 2 Char"/>
    <w:link w:val="Heading2"/>
    <w:rsid w:val="007F4A7C"/>
    <w:rPr>
      <w:rFonts w:ascii="Arial" w:eastAsia="Malgun Gothic"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7F4A7C"/>
    <w:rPr>
      <w:rFonts w:ascii="Arial" w:eastAsia="Malgun Gothic"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F4A7C"/>
    <w:rPr>
      <w:rFonts w:ascii="Arial" w:eastAsia="Malgun Gothic" w:hAnsi="Arial" w:cs="Times New Roman"/>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7F4A7C"/>
    <w:rPr>
      <w:rFonts w:ascii="Arial" w:eastAsia="Malgun Gothic" w:hAnsi="Arial" w:cs="Times New Roman"/>
      <w:szCs w:val="20"/>
      <w:lang w:val="en-GB" w:eastAsia="en-US"/>
    </w:rPr>
  </w:style>
  <w:style w:type="character" w:customStyle="1" w:styleId="Heading6Char">
    <w:name w:val="Heading 6 Char"/>
    <w:link w:val="Heading6"/>
    <w:rsid w:val="007F4A7C"/>
    <w:rPr>
      <w:rFonts w:ascii="Arial" w:eastAsia="Malgun Gothic" w:hAnsi="Arial" w:cs="Times New Roman"/>
      <w:sz w:val="20"/>
      <w:szCs w:val="20"/>
      <w:lang w:val="en-GB" w:eastAsia="en-US"/>
    </w:rPr>
  </w:style>
  <w:style w:type="character" w:customStyle="1" w:styleId="Heading7Char">
    <w:name w:val="Heading 7 Char"/>
    <w:link w:val="Heading7"/>
    <w:rsid w:val="007F4A7C"/>
    <w:rPr>
      <w:rFonts w:ascii="Arial" w:eastAsia="Malgun Gothic" w:hAnsi="Arial" w:cs="Times New Roman"/>
      <w:sz w:val="20"/>
      <w:szCs w:val="20"/>
      <w:lang w:val="en-GB" w:eastAsia="en-US"/>
    </w:rPr>
  </w:style>
  <w:style w:type="character" w:customStyle="1" w:styleId="Heading8Char">
    <w:name w:val="Heading 8 Char"/>
    <w:link w:val="Heading8"/>
    <w:rsid w:val="007F4A7C"/>
    <w:rPr>
      <w:rFonts w:ascii="Arial" w:eastAsia="Malgun Gothic" w:hAnsi="Arial" w:cs="Times New Roman"/>
      <w:sz w:val="36"/>
      <w:szCs w:val="20"/>
      <w:lang w:val="en-GB" w:eastAsia="en-US"/>
    </w:rPr>
  </w:style>
  <w:style w:type="character" w:customStyle="1" w:styleId="Heading9Char">
    <w:name w:val="Heading 9 Char"/>
    <w:link w:val="Heading9"/>
    <w:rsid w:val="007F4A7C"/>
    <w:rPr>
      <w:rFonts w:ascii="Arial" w:eastAsia="Malgun Gothic" w:hAnsi="Arial" w:cs="Times New Roman"/>
      <w:sz w:val="36"/>
      <w:szCs w:val="20"/>
      <w:lang w:val="en-GB" w:eastAsia="en-US"/>
    </w:rPr>
  </w:style>
  <w:style w:type="paragraph" w:styleId="Header">
    <w:name w:val="header"/>
    <w:aliases w:val="header odd,header odd1,header odd2,header odd3,header odd4,header odd5,header odd6,header"/>
    <w:link w:val="HeaderChar"/>
    <w:rsid w:val="007F4A7C"/>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
    <w:link w:val="Header"/>
    <w:rsid w:val="007F4A7C"/>
    <w:rPr>
      <w:rFonts w:ascii="Arial" w:eastAsia="Malgun Gothic" w:hAnsi="Arial" w:cs="Times New Roman"/>
      <w:b/>
      <w:noProof/>
      <w:sz w:val="18"/>
      <w:szCs w:val="20"/>
      <w:lang w:val="en-GB" w:eastAsia="en-US"/>
    </w:rPr>
  </w:style>
  <w:style w:type="character" w:styleId="Hyperlink">
    <w:name w:val="Hyperlink"/>
    <w:uiPriority w:val="99"/>
    <w:unhideWhenUsed/>
    <w:rsid w:val="0077064F"/>
    <w:rPr>
      <w:color w:val="0000FF"/>
      <w:u w:val="single"/>
    </w:rPr>
  </w:style>
  <w:style w:type="character" w:customStyle="1" w:styleId="watch-title">
    <w:name w:val="watch-title"/>
    <w:rsid w:val="00D33948"/>
    <w:rPr>
      <w:sz w:val="24"/>
      <w:szCs w:val="24"/>
      <w:bdr w:val="none" w:sz="0" w:space="0" w:color="auto" w:frame="1"/>
      <w:shd w:val="clear" w:color="auto" w:fill="auto"/>
    </w:rPr>
  </w:style>
  <w:style w:type="paragraph" w:styleId="BalloonText">
    <w:name w:val="Balloon Text"/>
    <w:basedOn w:val="Normal"/>
    <w:link w:val="BalloonTextChar"/>
    <w:uiPriority w:val="99"/>
    <w:semiHidden/>
    <w:unhideWhenUsed/>
    <w:rsid w:val="001D50F0"/>
    <w:rPr>
      <w:rFonts w:ascii="Segoe UI" w:hAnsi="Segoe UI" w:cs="Segoe UI"/>
      <w:sz w:val="18"/>
      <w:szCs w:val="18"/>
    </w:rPr>
  </w:style>
  <w:style w:type="character" w:customStyle="1" w:styleId="BalloonTextChar">
    <w:name w:val="Balloon Text Char"/>
    <w:link w:val="BalloonText"/>
    <w:uiPriority w:val="99"/>
    <w:semiHidden/>
    <w:rsid w:val="001D50F0"/>
    <w:rPr>
      <w:rFonts w:ascii="Segoe UI" w:eastAsia="Malgun Gothic" w:hAnsi="Segoe UI" w:cs="Segoe UI"/>
      <w:sz w:val="18"/>
      <w:szCs w:val="18"/>
    </w:rPr>
  </w:style>
  <w:style w:type="character" w:styleId="CommentReference">
    <w:name w:val="annotation reference"/>
    <w:uiPriority w:val="99"/>
    <w:semiHidden/>
    <w:unhideWhenUsed/>
    <w:rsid w:val="004C420D"/>
    <w:rPr>
      <w:sz w:val="16"/>
      <w:szCs w:val="16"/>
    </w:rPr>
  </w:style>
  <w:style w:type="paragraph" w:styleId="CommentText">
    <w:name w:val="annotation text"/>
    <w:basedOn w:val="Normal"/>
    <w:link w:val="CommentTextChar"/>
    <w:uiPriority w:val="99"/>
    <w:semiHidden/>
    <w:unhideWhenUsed/>
    <w:rsid w:val="004C420D"/>
    <w:rPr>
      <w:sz w:val="20"/>
      <w:szCs w:val="20"/>
    </w:rPr>
  </w:style>
  <w:style w:type="character" w:customStyle="1" w:styleId="CommentTextChar">
    <w:name w:val="Comment Text Char"/>
    <w:link w:val="CommentText"/>
    <w:uiPriority w:val="99"/>
    <w:semiHidden/>
    <w:rsid w:val="004C420D"/>
    <w:rPr>
      <w:rFonts w:ascii="Calibri" w:eastAsia="Malgun Gothic"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C420D"/>
    <w:rPr>
      <w:b/>
      <w:bCs/>
    </w:rPr>
  </w:style>
  <w:style w:type="character" w:customStyle="1" w:styleId="CommentSubjectChar">
    <w:name w:val="Comment Subject Char"/>
    <w:link w:val="CommentSubject"/>
    <w:uiPriority w:val="99"/>
    <w:semiHidden/>
    <w:rsid w:val="004C420D"/>
    <w:rPr>
      <w:rFonts w:ascii="Calibri" w:eastAsia="Malgun Gothic" w:hAnsi="Calibri" w:cs="Times New Roman"/>
      <w:b/>
      <w:bCs/>
      <w:sz w:val="20"/>
      <w:szCs w:val="20"/>
    </w:rPr>
  </w:style>
  <w:style w:type="paragraph" w:styleId="Revision">
    <w:name w:val="Revision"/>
    <w:hidden/>
    <w:uiPriority w:val="99"/>
    <w:semiHidden/>
    <w:rsid w:val="004C420D"/>
    <w:rPr>
      <w:sz w:val="21"/>
      <w:szCs w:val="21"/>
      <w:lang w:eastAsia="ko-KR"/>
    </w:rPr>
  </w:style>
  <w:style w:type="paragraph" w:styleId="Footer">
    <w:name w:val="footer"/>
    <w:basedOn w:val="Header"/>
    <w:link w:val="FooterChar"/>
    <w:rsid w:val="0058249D"/>
    <w:pPr>
      <w:jc w:val="center"/>
    </w:pPr>
    <w:rPr>
      <w:rFonts w:eastAsia="MS Mincho"/>
      <w:i/>
    </w:rPr>
  </w:style>
  <w:style w:type="character" w:customStyle="1" w:styleId="FooterChar">
    <w:name w:val="Footer Char"/>
    <w:link w:val="Footer"/>
    <w:rsid w:val="0058249D"/>
    <w:rPr>
      <w:rFonts w:ascii="Arial" w:eastAsia="MS Mincho" w:hAnsi="Arial" w:cs="Times New Roman"/>
      <w:b/>
      <w:i/>
      <w:noProof/>
      <w:sz w:val="18"/>
      <w:szCs w:val="20"/>
      <w:lang w:val="en-GB" w:eastAsia="en-US"/>
    </w:rPr>
  </w:style>
  <w:style w:type="table" w:styleId="TableGrid">
    <w:name w:val="Table Grid"/>
    <w:basedOn w:val="TableNormal"/>
    <w:uiPriority w:val="39"/>
    <w:rsid w:val="006C65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3GPP Caption Table"/>
    <w:basedOn w:val="Normal"/>
    <w:next w:val="Normal"/>
    <w:link w:val="CaptionChar"/>
    <w:qFormat/>
    <w:rsid w:val="00391FE8"/>
    <w:pPr>
      <w:overflowPunct w:val="0"/>
      <w:autoSpaceDE w:val="0"/>
      <w:autoSpaceDN w:val="0"/>
      <w:adjustRightInd w:val="0"/>
      <w:spacing w:before="120" w:after="120"/>
      <w:jc w:val="left"/>
      <w:textAlignment w:val="baseline"/>
    </w:pPr>
    <w:rPr>
      <w:rFonts w:ascii="Times New Roman" w:eastAsia="SimSun" w:hAnsi="Times New Roman"/>
      <w:b/>
      <w:bCs/>
      <w:sz w:val="20"/>
      <w:szCs w:val="20"/>
      <w:lang w:val="en-GB" w:eastAsia="en-US"/>
    </w:rPr>
  </w:style>
  <w:style w:type="character" w:customStyle="1" w:styleId="CaptionChar">
    <w:name w:val="Caption Char"/>
    <w:aliases w:val="3GPP Caption Table Char,cap Char"/>
    <w:link w:val="Caption"/>
    <w:rsid w:val="00391FE8"/>
    <w:rPr>
      <w:rFonts w:ascii="Times New Roman" w:eastAsia="SimSu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4812">
      <w:bodyDiv w:val="1"/>
      <w:marLeft w:val="0"/>
      <w:marRight w:val="0"/>
      <w:marTop w:val="0"/>
      <w:marBottom w:val="0"/>
      <w:divBdr>
        <w:top w:val="none" w:sz="0" w:space="0" w:color="auto"/>
        <w:left w:val="none" w:sz="0" w:space="0" w:color="auto"/>
        <w:bottom w:val="none" w:sz="0" w:space="0" w:color="auto"/>
        <w:right w:val="none" w:sz="0" w:space="0" w:color="auto"/>
      </w:divBdr>
    </w:div>
    <w:div w:id="71707039">
      <w:bodyDiv w:val="1"/>
      <w:marLeft w:val="0"/>
      <w:marRight w:val="0"/>
      <w:marTop w:val="0"/>
      <w:marBottom w:val="0"/>
      <w:divBdr>
        <w:top w:val="none" w:sz="0" w:space="0" w:color="auto"/>
        <w:left w:val="none" w:sz="0" w:space="0" w:color="auto"/>
        <w:bottom w:val="none" w:sz="0" w:space="0" w:color="auto"/>
        <w:right w:val="none" w:sz="0" w:space="0" w:color="auto"/>
      </w:divBdr>
    </w:div>
    <w:div w:id="269438513">
      <w:bodyDiv w:val="1"/>
      <w:marLeft w:val="0"/>
      <w:marRight w:val="0"/>
      <w:marTop w:val="0"/>
      <w:marBottom w:val="0"/>
      <w:divBdr>
        <w:top w:val="none" w:sz="0" w:space="0" w:color="auto"/>
        <w:left w:val="none" w:sz="0" w:space="0" w:color="auto"/>
        <w:bottom w:val="none" w:sz="0" w:space="0" w:color="auto"/>
        <w:right w:val="none" w:sz="0" w:space="0" w:color="auto"/>
      </w:divBdr>
    </w:div>
    <w:div w:id="317928036">
      <w:bodyDiv w:val="1"/>
      <w:marLeft w:val="0"/>
      <w:marRight w:val="0"/>
      <w:marTop w:val="0"/>
      <w:marBottom w:val="0"/>
      <w:divBdr>
        <w:top w:val="none" w:sz="0" w:space="0" w:color="auto"/>
        <w:left w:val="none" w:sz="0" w:space="0" w:color="auto"/>
        <w:bottom w:val="none" w:sz="0" w:space="0" w:color="auto"/>
        <w:right w:val="none" w:sz="0" w:space="0" w:color="auto"/>
      </w:divBdr>
      <w:divsChild>
        <w:div w:id="1153108046">
          <w:marLeft w:val="547"/>
          <w:marRight w:val="0"/>
          <w:marTop w:val="154"/>
          <w:marBottom w:val="0"/>
          <w:divBdr>
            <w:top w:val="none" w:sz="0" w:space="0" w:color="auto"/>
            <w:left w:val="none" w:sz="0" w:space="0" w:color="auto"/>
            <w:bottom w:val="none" w:sz="0" w:space="0" w:color="auto"/>
            <w:right w:val="none" w:sz="0" w:space="0" w:color="auto"/>
          </w:divBdr>
        </w:div>
        <w:div w:id="1626110807">
          <w:marLeft w:val="1166"/>
          <w:marRight w:val="0"/>
          <w:marTop w:val="134"/>
          <w:marBottom w:val="0"/>
          <w:divBdr>
            <w:top w:val="none" w:sz="0" w:space="0" w:color="auto"/>
            <w:left w:val="none" w:sz="0" w:space="0" w:color="auto"/>
            <w:bottom w:val="none" w:sz="0" w:space="0" w:color="auto"/>
            <w:right w:val="none" w:sz="0" w:space="0" w:color="auto"/>
          </w:divBdr>
        </w:div>
        <w:div w:id="1493327254">
          <w:marLeft w:val="1166"/>
          <w:marRight w:val="0"/>
          <w:marTop w:val="134"/>
          <w:marBottom w:val="0"/>
          <w:divBdr>
            <w:top w:val="none" w:sz="0" w:space="0" w:color="auto"/>
            <w:left w:val="none" w:sz="0" w:space="0" w:color="auto"/>
            <w:bottom w:val="none" w:sz="0" w:space="0" w:color="auto"/>
            <w:right w:val="none" w:sz="0" w:space="0" w:color="auto"/>
          </w:divBdr>
        </w:div>
        <w:div w:id="366444060">
          <w:marLeft w:val="1166"/>
          <w:marRight w:val="0"/>
          <w:marTop w:val="134"/>
          <w:marBottom w:val="0"/>
          <w:divBdr>
            <w:top w:val="none" w:sz="0" w:space="0" w:color="auto"/>
            <w:left w:val="none" w:sz="0" w:space="0" w:color="auto"/>
            <w:bottom w:val="none" w:sz="0" w:space="0" w:color="auto"/>
            <w:right w:val="none" w:sz="0" w:space="0" w:color="auto"/>
          </w:divBdr>
        </w:div>
      </w:divsChild>
    </w:div>
    <w:div w:id="449667930">
      <w:bodyDiv w:val="1"/>
      <w:marLeft w:val="0"/>
      <w:marRight w:val="0"/>
      <w:marTop w:val="0"/>
      <w:marBottom w:val="0"/>
      <w:divBdr>
        <w:top w:val="none" w:sz="0" w:space="0" w:color="auto"/>
        <w:left w:val="none" w:sz="0" w:space="0" w:color="auto"/>
        <w:bottom w:val="none" w:sz="0" w:space="0" w:color="auto"/>
        <w:right w:val="none" w:sz="0" w:space="0" w:color="auto"/>
      </w:divBdr>
      <w:divsChild>
        <w:div w:id="1709453943">
          <w:marLeft w:val="547"/>
          <w:marRight w:val="0"/>
          <w:marTop w:val="134"/>
          <w:marBottom w:val="0"/>
          <w:divBdr>
            <w:top w:val="none" w:sz="0" w:space="0" w:color="auto"/>
            <w:left w:val="none" w:sz="0" w:space="0" w:color="auto"/>
            <w:bottom w:val="none" w:sz="0" w:space="0" w:color="auto"/>
            <w:right w:val="none" w:sz="0" w:space="0" w:color="auto"/>
          </w:divBdr>
        </w:div>
        <w:div w:id="1643079131">
          <w:marLeft w:val="547"/>
          <w:marRight w:val="0"/>
          <w:marTop w:val="134"/>
          <w:marBottom w:val="0"/>
          <w:divBdr>
            <w:top w:val="none" w:sz="0" w:space="0" w:color="auto"/>
            <w:left w:val="none" w:sz="0" w:space="0" w:color="auto"/>
            <w:bottom w:val="none" w:sz="0" w:space="0" w:color="auto"/>
            <w:right w:val="none" w:sz="0" w:space="0" w:color="auto"/>
          </w:divBdr>
        </w:div>
        <w:div w:id="736441979">
          <w:marLeft w:val="547"/>
          <w:marRight w:val="0"/>
          <w:marTop w:val="134"/>
          <w:marBottom w:val="0"/>
          <w:divBdr>
            <w:top w:val="none" w:sz="0" w:space="0" w:color="auto"/>
            <w:left w:val="none" w:sz="0" w:space="0" w:color="auto"/>
            <w:bottom w:val="none" w:sz="0" w:space="0" w:color="auto"/>
            <w:right w:val="none" w:sz="0" w:space="0" w:color="auto"/>
          </w:divBdr>
        </w:div>
      </w:divsChild>
    </w:div>
    <w:div w:id="452139074">
      <w:bodyDiv w:val="1"/>
      <w:marLeft w:val="0"/>
      <w:marRight w:val="0"/>
      <w:marTop w:val="0"/>
      <w:marBottom w:val="0"/>
      <w:divBdr>
        <w:top w:val="none" w:sz="0" w:space="0" w:color="auto"/>
        <w:left w:val="none" w:sz="0" w:space="0" w:color="auto"/>
        <w:bottom w:val="none" w:sz="0" w:space="0" w:color="auto"/>
        <w:right w:val="none" w:sz="0" w:space="0" w:color="auto"/>
      </w:divBdr>
      <w:divsChild>
        <w:div w:id="1024357848">
          <w:marLeft w:val="547"/>
          <w:marRight w:val="0"/>
          <w:marTop w:val="134"/>
          <w:marBottom w:val="0"/>
          <w:divBdr>
            <w:top w:val="none" w:sz="0" w:space="0" w:color="auto"/>
            <w:left w:val="none" w:sz="0" w:space="0" w:color="auto"/>
            <w:bottom w:val="none" w:sz="0" w:space="0" w:color="auto"/>
            <w:right w:val="none" w:sz="0" w:space="0" w:color="auto"/>
          </w:divBdr>
        </w:div>
      </w:divsChild>
    </w:div>
    <w:div w:id="650448939">
      <w:bodyDiv w:val="1"/>
      <w:marLeft w:val="0"/>
      <w:marRight w:val="0"/>
      <w:marTop w:val="0"/>
      <w:marBottom w:val="0"/>
      <w:divBdr>
        <w:top w:val="none" w:sz="0" w:space="0" w:color="auto"/>
        <w:left w:val="none" w:sz="0" w:space="0" w:color="auto"/>
        <w:bottom w:val="none" w:sz="0" w:space="0" w:color="auto"/>
        <w:right w:val="none" w:sz="0" w:space="0" w:color="auto"/>
      </w:divBdr>
    </w:div>
    <w:div w:id="681199693">
      <w:bodyDiv w:val="1"/>
      <w:marLeft w:val="0"/>
      <w:marRight w:val="0"/>
      <w:marTop w:val="0"/>
      <w:marBottom w:val="0"/>
      <w:divBdr>
        <w:top w:val="none" w:sz="0" w:space="0" w:color="auto"/>
        <w:left w:val="none" w:sz="0" w:space="0" w:color="auto"/>
        <w:bottom w:val="none" w:sz="0" w:space="0" w:color="auto"/>
        <w:right w:val="none" w:sz="0" w:space="0" w:color="auto"/>
      </w:divBdr>
      <w:divsChild>
        <w:div w:id="391851311">
          <w:marLeft w:val="547"/>
          <w:marRight w:val="0"/>
          <w:marTop w:val="134"/>
          <w:marBottom w:val="0"/>
          <w:divBdr>
            <w:top w:val="none" w:sz="0" w:space="0" w:color="auto"/>
            <w:left w:val="none" w:sz="0" w:space="0" w:color="auto"/>
            <w:bottom w:val="none" w:sz="0" w:space="0" w:color="auto"/>
            <w:right w:val="none" w:sz="0" w:space="0" w:color="auto"/>
          </w:divBdr>
        </w:div>
        <w:div w:id="784085088">
          <w:marLeft w:val="547"/>
          <w:marRight w:val="0"/>
          <w:marTop w:val="134"/>
          <w:marBottom w:val="0"/>
          <w:divBdr>
            <w:top w:val="none" w:sz="0" w:space="0" w:color="auto"/>
            <w:left w:val="none" w:sz="0" w:space="0" w:color="auto"/>
            <w:bottom w:val="none" w:sz="0" w:space="0" w:color="auto"/>
            <w:right w:val="none" w:sz="0" w:space="0" w:color="auto"/>
          </w:divBdr>
        </w:div>
        <w:div w:id="2030644275">
          <w:marLeft w:val="547"/>
          <w:marRight w:val="0"/>
          <w:marTop w:val="134"/>
          <w:marBottom w:val="0"/>
          <w:divBdr>
            <w:top w:val="none" w:sz="0" w:space="0" w:color="auto"/>
            <w:left w:val="none" w:sz="0" w:space="0" w:color="auto"/>
            <w:bottom w:val="none" w:sz="0" w:space="0" w:color="auto"/>
            <w:right w:val="none" w:sz="0" w:space="0" w:color="auto"/>
          </w:divBdr>
        </w:div>
      </w:divsChild>
    </w:div>
    <w:div w:id="694306581">
      <w:bodyDiv w:val="1"/>
      <w:marLeft w:val="0"/>
      <w:marRight w:val="0"/>
      <w:marTop w:val="0"/>
      <w:marBottom w:val="0"/>
      <w:divBdr>
        <w:top w:val="none" w:sz="0" w:space="0" w:color="auto"/>
        <w:left w:val="none" w:sz="0" w:space="0" w:color="auto"/>
        <w:bottom w:val="none" w:sz="0" w:space="0" w:color="auto"/>
        <w:right w:val="none" w:sz="0" w:space="0" w:color="auto"/>
      </w:divBdr>
    </w:div>
    <w:div w:id="837308574">
      <w:bodyDiv w:val="1"/>
      <w:marLeft w:val="0"/>
      <w:marRight w:val="0"/>
      <w:marTop w:val="0"/>
      <w:marBottom w:val="0"/>
      <w:divBdr>
        <w:top w:val="none" w:sz="0" w:space="0" w:color="auto"/>
        <w:left w:val="none" w:sz="0" w:space="0" w:color="auto"/>
        <w:bottom w:val="none" w:sz="0" w:space="0" w:color="auto"/>
        <w:right w:val="none" w:sz="0" w:space="0" w:color="auto"/>
      </w:divBdr>
      <w:divsChild>
        <w:div w:id="1245841974">
          <w:marLeft w:val="547"/>
          <w:marRight w:val="0"/>
          <w:marTop w:val="134"/>
          <w:marBottom w:val="0"/>
          <w:divBdr>
            <w:top w:val="none" w:sz="0" w:space="0" w:color="auto"/>
            <w:left w:val="none" w:sz="0" w:space="0" w:color="auto"/>
            <w:bottom w:val="none" w:sz="0" w:space="0" w:color="auto"/>
            <w:right w:val="none" w:sz="0" w:space="0" w:color="auto"/>
          </w:divBdr>
        </w:div>
        <w:div w:id="1381324867">
          <w:marLeft w:val="547"/>
          <w:marRight w:val="0"/>
          <w:marTop w:val="134"/>
          <w:marBottom w:val="0"/>
          <w:divBdr>
            <w:top w:val="none" w:sz="0" w:space="0" w:color="auto"/>
            <w:left w:val="none" w:sz="0" w:space="0" w:color="auto"/>
            <w:bottom w:val="none" w:sz="0" w:space="0" w:color="auto"/>
            <w:right w:val="none" w:sz="0" w:space="0" w:color="auto"/>
          </w:divBdr>
        </w:div>
      </w:divsChild>
    </w:div>
    <w:div w:id="909581535">
      <w:bodyDiv w:val="1"/>
      <w:marLeft w:val="0"/>
      <w:marRight w:val="0"/>
      <w:marTop w:val="0"/>
      <w:marBottom w:val="0"/>
      <w:divBdr>
        <w:top w:val="none" w:sz="0" w:space="0" w:color="auto"/>
        <w:left w:val="none" w:sz="0" w:space="0" w:color="auto"/>
        <w:bottom w:val="none" w:sz="0" w:space="0" w:color="auto"/>
        <w:right w:val="none" w:sz="0" w:space="0" w:color="auto"/>
      </w:divBdr>
    </w:div>
    <w:div w:id="1113357355">
      <w:bodyDiv w:val="1"/>
      <w:marLeft w:val="0"/>
      <w:marRight w:val="0"/>
      <w:marTop w:val="0"/>
      <w:marBottom w:val="0"/>
      <w:divBdr>
        <w:top w:val="none" w:sz="0" w:space="0" w:color="auto"/>
        <w:left w:val="none" w:sz="0" w:space="0" w:color="auto"/>
        <w:bottom w:val="none" w:sz="0" w:space="0" w:color="auto"/>
        <w:right w:val="none" w:sz="0" w:space="0" w:color="auto"/>
      </w:divBdr>
    </w:div>
    <w:div w:id="1172599676">
      <w:bodyDiv w:val="1"/>
      <w:marLeft w:val="0"/>
      <w:marRight w:val="0"/>
      <w:marTop w:val="0"/>
      <w:marBottom w:val="0"/>
      <w:divBdr>
        <w:top w:val="none" w:sz="0" w:space="0" w:color="auto"/>
        <w:left w:val="none" w:sz="0" w:space="0" w:color="auto"/>
        <w:bottom w:val="none" w:sz="0" w:space="0" w:color="auto"/>
        <w:right w:val="none" w:sz="0" w:space="0" w:color="auto"/>
      </w:divBdr>
    </w:div>
    <w:div w:id="1206411936">
      <w:bodyDiv w:val="1"/>
      <w:marLeft w:val="0"/>
      <w:marRight w:val="0"/>
      <w:marTop w:val="0"/>
      <w:marBottom w:val="0"/>
      <w:divBdr>
        <w:top w:val="none" w:sz="0" w:space="0" w:color="auto"/>
        <w:left w:val="none" w:sz="0" w:space="0" w:color="auto"/>
        <w:bottom w:val="none" w:sz="0" w:space="0" w:color="auto"/>
        <w:right w:val="none" w:sz="0" w:space="0" w:color="auto"/>
      </w:divBdr>
    </w:div>
    <w:div w:id="1207991929">
      <w:bodyDiv w:val="1"/>
      <w:marLeft w:val="0"/>
      <w:marRight w:val="0"/>
      <w:marTop w:val="0"/>
      <w:marBottom w:val="0"/>
      <w:divBdr>
        <w:top w:val="none" w:sz="0" w:space="0" w:color="auto"/>
        <w:left w:val="none" w:sz="0" w:space="0" w:color="auto"/>
        <w:bottom w:val="none" w:sz="0" w:space="0" w:color="auto"/>
        <w:right w:val="none" w:sz="0" w:space="0" w:color="auto"/>
      </w:divBdr>
    </w:div>
    <w:div w:id="1214123338">
      <w:bodyDiv w:val="1"/>
      <w:marLeft w:val="0"/>
      <w:marRight w:val="0"/>
      <w:marTop w:val="0"/>
      <w:marBottom w:val="0"/>
      <w:divBdr>
        <w:top w:val="none" w:sz="0" w:space="0" w:color="auto"/>
        <w:left w:val="none" w:sz="0" w:space="0" w:color="auto"/>
        <w:bottom w:val="none" w:sz="0" w:space="0" w:color="auto"/>
        <w:right w:val="none" w:sz="0" w:space="0" w:color="auto"/>
      </w:divBdr>
    </w:div>
    <w:div w:id="1221751771">
      <w:bodyDiv w:val="1"/>
      <w:marLeft w:val="0"/>
      <w:marRight w:val="0"/>
      <w:marTop w:val="0"/>
      <w:marBottom w:val="0"/>
      <w:divBdr>
        <w:top w:val="none" w:sz="0" w:space="0" w:color="auto"/>
        <w:left w:val="none" w:sz="0" w:space="0" w:color="auto"/>
        <w:bottom w:val="none" w:sz="0" w:space="0" w:color="auto"/>
        <w:right w:val="none" w:sz="0" w:space="0" w:color="auto"/>
      </w:divBdr>
      <w:divsChild>
        <w:div w:id="792022761">
          <w:marLeft w:val="547"/>
          <w:marRight w:val="0"/>
          <w:marTop w:val="154"/>
          <w:marBottom w:val="0"/>
          <w:divBdr>
            <w:top w:val="none" w:sz="0" w:space="0" w:color="auto"/>
            <w:left w:val="none" w:sz="0" w:space="0" w:color="auto"/>
            <w:bottom w:val="none" w:sz="0" w:space="0" w:color="auto"/>
            <w:right w:val="none" w:sz="0" w:space="0" w:color="auto"/>
          </w:divBdr>
        </w:div>
        <w:div w:id="88234382">
          <w:marLeft w:val="1166"/>
          <w:marRight w:val="0"/>
          <w:marTop w:val="134"/>
          <w:marBottom w:val="0"/>
          <w:divBdr>
            <w:top w:val="none" w:sz="0" w:space="0" w:color="auto"/>
            <w:left w:val="none" w:sz="0" w:space="0" w:color="auto"/>
            <w:bottom w:val="none" w:sz="0" w:space="0" w:color="auto"/>
            <w:right w:val="none" w:sz="0" w:space="0" w:color="auto"/>
          </w:divBdr>
        </w:div>
        <w:div w:id="605697244">
          <w:marLeft w:val="1166"/>
          <w:marRight w:val="0"/>
          <w:marTop w:val="134"/>
          <w:marBottom w:val="0"/>
          <w:divBdr>
            <w:top w:val="none" w:sz="0" w:space="0" w:color="auto"/>
            <w:left w:val="none" w:sz="0" w:space="0" w:color="auto"/>
            <w:bottom w:val="none" w:sz="0" w:space="0" w:color="auto"/>
            <w:right w:val="none" w:sz="0" w:space="0" w:color="auto"/>
          </w:divBdr>
        </w:div>
        <w:div w:id="577325300">
          <w:marLeft w:val="547"/>
          <w:marRight w:val="0"/>
          <w:marTop w:val="154"/>
          <w:marBottom w:val="0"/>
          <w:divBdr>
            <w:top w:val="none" w:sz="0" w:space="0" w:color="auto"/>
            <w:left w:val="none" w:sz="0" w:space="0" w:color="auto"/>
            <w:bottom w:val="none" w:sz="0" w:space="0" w:color="auto"/>
            <w:right w:val="none" w:sz="0" w:space="0" w:color="auto"/>
          </w:divBdr>
        </w:div>
      </w:divsChild>
    </w:div>
    <w:div w:id="1314607176">
      <w:bodyDiv w:val="1"/>
      <w:marLeft w:val="0"/>
      <w:marRight w:val="0"/>
      <w:marTop w:val="0"/>
      <w:marBottom w:val="0"/>
      <w:divBdr>
        <w:top w:val="none" w:sz="0" w:space="0" w:color="auto"/>
        <w:left w:val="none" w:sz="0" w:space="0" w:color="auto"/>
        <w:bottom w:val="none" w:sz="0" w:space="0" w:color="auto"/>
        <w:right w:val="none" w:sz="0" w:space="0" w:color="auto"/>
      </w:divBdr>
    </w:div>
    <w:div w:id="1645618344">
      <w:bodyDiv w:val="1"/>
      <w:marLeft w:val="0"/>
      <w:marRight w:val="0"/>
      <w:marTop w:val="0"/>
      <w:marBottom w:val="0"/>
      <w:divBdr>
        <w:top w:val="none" w:sz="0" w:space="0" w:color="auto"/>
        <w:left w:val="none" w:sz="0" w:space="0" w:color="auto"/>
        <w:bottom w:val="none" w:sz="0" w:space="0" w:color="auto"/>
        <w:right w:val="none" w:sz="0" w:space="0" w:color="auto"/>
      </w:divBdr>
    </w:div>
    <w:div w:id="1694072029">
      <w:bodyDiv w:val="1"/>
      <w:marLeft w:val="0"/>
      <w:marRight w:val="0"/>
      <w:marTop w:val="0"/>
      <w:marBottom w:val="0"/>
      <w:divBdr>
        <w:top w:val="none" w:sz="0" w:space="0" w:color="auto"/>
        <w:left w:val="none" w:sz="0" w:space="0" w:color="auto"/>
        <w:bottom w:val="none" w:sz="0" w:space="0" w:color="auto"/>
        <w:right w:val="none" w:sz="0" w:space="0" w:color="auto"/>
      </w:divBdr>
    </w:div>
    <w:div w:id="1699887116">
      <w:bodyDiv w:val="1"/>
      <w:marLeft w:val="0"/>
      <w:marRight w:val="0"/>
      <w:marTop w:val="0"/>
      <w:marBottom w:val="0"/>
      <w:divBdr>
        <w:top w:val="none" w:sz="0" w:space="0" w:color="auto"/>
        <w:left w:val="none" w:sz="0" w:space="0" w:color="auto"/>
        <w:bottom w:val="none" w:sz="0" w:space="0" w:color="auto"/>
        <w:right w:val="none" w:sz="0" w:space="0" w:color="auto"/>
      </w:divBdr>
      <w:divsChild>
        <w:div w:id="1057365154">
          <w:marLeft w:val="547"/>
          <w:marRight w:val="0"/>
          <w:marTop w:val="134"/>
          <w:marBottom w:val="0"/>
          <w:divBdr>
            <w:top w:val="none" w:sz="0" w:space="0" w:color="auto"/>
            <w:left w:val="none" w:sz="0" w:space="0" w:color="auto"/>
            <w:bottom w:val="none" w:sz="0" w:space="0" w:color="auto"/>
            <w:right w:val="none" w:sz="0" w:space="0" w:color="auto"/>
          </w:divBdr>
        </w:div>
        <w:div w:id="1866550824">
          <w:marLeft w:val="547"/>
          <w:marRight w:val="0"/>
          <w:marTop w:val="134"/>
          <w:marBottom w:val="0"/>
          <w:divBdr>
            <w:top w:val="none" w:sz="0" w:space="0" w:color="auto"/>
            <w:left w:val="none" w:sz="0" w:space="0" w:color="auto"/>
            <w:bottom w:val="none" w:sz="0" w:space="0" w:color="auto"/>
            <w:right w:val="none" w:sz="0" w:space="0" w:color="auto"/>
          </w:divBdr>
        </w:div>
        <w:div w:id="1653870078">
          <w:marLeft w:val="547"/>
          <w:marRight w:val="0"/>
          <w:marTop w:val="134"/>
          <w:marBottom w:val="0"/>
          <w:divBdr>
            <w:top w:val="none" w:sz="0" w:space="0" w:color="auto"/>
            <w:left w:val="none" w:sz="0" w:space="0" w:color="auto"/>
            <w:bottom w:val="none" w:sz="0" w:space="0" w:color="auto"/>
            <w:right w:val="none" w:sz="0" w:space="0" w:color="auto"/>
          </w:divBdr>
        </w:div>
      </w:divsChild>
    </w:div>
    <w:div w:id="1735004825">
      <w:bodyDiv w:val="1"/>
      <w:marLeft w:val="0"/>
      <w:marRight w:val="0"/>
      <w:marTop w:val="0"/>
      <w:marBottom w:val="0"/>
      <w:divBdr>
        <w:top w:val="none" w:sz="0" w:space="0" w:color="auto"/>
        <w:left w:val="none" w:sz="0" w:space="0" w:color="auto"/>
        <w:bottom w:val="none" w:sz="0" w:space="0" w:color="auto"/>
        <w:right w:val="none" w:sz="0" w:space="0" w:color="auto"/>
      </w:divBdr>
    </w:div>
    <w:div w:id="1981571826">
      <w:bodyDiv w:val="1"/>
      <w:marLeft w:val="0"/>
      <w:marRight w:val="0"/>
      <w:marTop w:val="0"/>
      <w:marBottom w:val="0"/>
      <w:divBdr>
        <w:top w:val="none" w:sz="0" w:space="0" w:color="auto"/>
        <w:left w:val="none" w:sz="0" w:space="0" w:color="auto"/>
        <w:bottom w:val="none" w:sz="0" w:space="0" w:color="auto"/>
        <w:right w:val="none" w:sz="0" w:space="0" w:color="auto"/>
      </w:divBdr>
      <w:divsChild>
        <w:div w:id="1998606992">
          <w:marLeft w:val="1166"/>
          <w:marRight w:val="0"/>
          <w:marTop w:val="96"/>
          <w:marBottom w:val="0"/>
          <w:divBdr>
            <w:top w:val="none" w:sz="0" w:space="0" w:color="auto"/>
            <w:left w:val="none" w:sz="0" w:space="0" w:color="auto"/>
            <w:bottom w:val="none" w:sz="0" w:space="0" w:color="auto"/>
            <w:right w:val="none" w:sz="0" w:space="0" w:color="auto"/>
          </w:divBdr>
        </w:div>
        <w:div w:id="1699889493">
          <w:marLeft w:val="1800"/>
          <w:marRight w:val="0"/>
          <w:marTop w:val="86"/>
          <w:marBottom w:val="0"/>
          <w:divBdr>
            <w:top w:val="none" w:sz="0" w:space="0" w:color="auto"/>
            <w:left w:val="none" w:sz="0" w:space="0" w:color="auto"/>
            <w:bottom w:val="none" w:sz="0" w:space="0" w:color="auto"/>
            <w:right w:val="none" w:sz="0" w:space="0" w:color="auto"/>
          </w:divBdr>
        </w:div>
        <w:div w:id="725690497">
          <w:marLeft w:val="1800"/>
          <w:marRight w:val="0"/>
          <w:marTop w:val="86"/>
          <w:marBottom w:val="0"/>
          <w:divBdr>
            <w:top w:val="none" w:sz="0" w:space="0" w:color="auto"/>
            <w:left w:val="none" w:sz="0" w:space="0" w:color="auto"/>
            <w:bottom w:val="none" w:sz="0" w:space="0" w:color="auto"/>
            <w:right w:val="none" w:sz="0" w:space="0" w:color="auto"/>
          </w:divBdr>
        </w:div>
        <w:div w:id="1223515650">
          <w:marLeft w:val="2520"/>
          <w:marRight w:val="0"/>
          <w:marTop w:val="67"/>
          <w:marBottom w:val="0"/>
          <w:divBdr>
            <w:top w:val="none" w:sz="0" w:space="0" w:color="auto"/>
            <w:left w:val="none" w:sz="0" w:space="0" w:color="auto"/>
            <w:bottom w:val="none" w:sz="0" w:space="0" w:color="auto"/>
            <w:right w:val="none" w:sz="0" w:space="0" w:color="auto"/>
          </w:divBdr>
        </w:div>
        <w:div w:id="1315142750">
          <w:marLeft w:val="2520"/>
          <w:marRight w:val="0"/>
          <w:marTop w:val="67"/>
          <w:marBottom w:val="0"/>
          <w:divBdr>
            <w:top w:val="none" w:sz="0" w:space="0" w:color="auto"/>
            <w:left w:val="none" w:sz="0" w:space="0" w:color="auto"/>
            <w:bottom w:val="none" w:sz="0" w:space="0" w:color="auto"/>
            <w:right w:val="none" w:sz="0" w:space="0" w:color="auto"/>
          </w:divBdr>
        </w:div>
        <w:div w:id="2061319532">
          <w:marLeft w:val="2520"/>
          <w:marRight w:val="0"/>
          <w:marTop w:val="67"/>
          <w:marBottom w:val="0"/>
          <w:divBdr>
            <w:top w:val="none" w:sz="0" w:space="0" w:color="auto"/>
            <w:left w:val="none" w:sz="0" w:space="0" w:color="auto"/>
            <w:bottom w:val="none" w:sz="0" w:space="0" w:color="auto"/>
            <w:right w:val="none" w:sz="0" w:space="0" w:color="auto"/>
          </w:divBdr>
        </w:div>
      </w:divsChild>
    </w:div>
    <w:div w:id="2018269759">
      <w:bodyDiv w:val="1"/>
      <w:marLeft w:val="0"/>
      <w:marRight w:val="0"/>
      <w:marTop w:val="0"/>
      <w:marBottom w:val="0"/>
      <w:divBdr>
        <w:top w:val="none" w:sz="0" w:space="0" w:color="auto"/>
        <w:left w:val="none" w:sz="0" w:space="0" w:color="auto"/>
        <w:bottom w:val="none" w:sz="0" w:space="0" w:color="auto"/>
        <w:right w:val="none" w:sz="0" w:space="0" w:color="auto"/>
      </w:divBdr>
      <w:divsChild>
        <w:div w:id="1433083560">
          <w:marLeft w:val="446"/>
          <w:marRight w:val="0"/>
          <w:marTop w:val="240"/>
          <w:marBottom w:val="0"/>
          <w:divBdr>
            <w:top w:val="none" w:sz="0" w:space="0" w:color="auto"/>
            <w:left w:val="none" w:sz="0" w:space="0" w:color="auto"/>
            <w:bottom w:val="none" w:sz="0" w:space="0" w:color="auto"/>
            <w:right w:val="none" w:sz="0" w:space="0" w:color="auto"/>
          </w:divBdr>
        </w:div>
        <w:div w:id="111560572">
          <w:marLeft w:val="446"/>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cid:image002.jpg@01D1166B.B6829D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2FB34-8AF7-4777-A8DF-892806953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1860</Words>
  <Characters>10608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Yoon, Daejung</dc:creator>
  <cp:keywords/>
  <dc:description/>
  <cp:lastModifiedBy>Tang, Yang</cp:lastModifiedBy>
  <cp:revision>4</cp:revision>
  <dcterms:created xsi:type="dcterms:W3CDTF">2015-11-09T03:42:00Z</dcterms:created>
  <dcterms:modified xsi:type="dcterms:W3CDTF">2015-11-09T03:52:00Z</dcterms:modified>
</cp:coreProperties>
</file>